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511" w:rsidRPr="00271511" w:rsidRDefault="00271511" w:rsidP="00063012">
      <w:pPr>
        <w:keepNext/>
        <w:keepLines/>
        <w:suppressAutoHyphens/>
        <w:spacing w:after="480" w:line="360" w:lineRule="atLeast"/>
        <w:ind w:firstLine="0"/>
        <w:jc w:val="center"/>
        <w:rPr>
          <w:b/>
          <w:sz w:val="28"/>
          <w:szCs w:val="28"/>
        </w:rPr>
      </w:pPr>
      <w:r w:rsidRPr="00271511">
        <w:rPr>
          <w:b/>
          <w:sz w:val="28"/>
          <w:szCs w:val="28"/>
        </w:rPr>
        <w:t xml:space="preserve">Porous </w:t>
      </w:r>
      <w:r w:rsidR="004A08E5" w:rsidRPr="00271511">
        <w:rPr>
          <w:b/>
          <w:sz w:val="28"/>
          <w:szCs w:val="28"/>
        </w:rPr>
        <w:t xml:space="preserve">Magnesia Compositions </w:t>
      </w:r>
      <w:r w:rsidR="004A08E5">
        <w:rPr>
          <w:b/>
          <w:sz w:val="28"/>
          <w:szCs w:val="28"/>
        </w:rPr>
        <w:t>w</w:t>
      </w:r>
      <w:r w:rsidR="004A08E5" w:rsidRPr="00271511">
        <w:rPr>
          <w:b/>
          <w:sz w:val="28"/>
          <w:szCs w:val="28"/>
        </w:rPr>
        <w:t>ith Various Fillers</w:t>
      </w:r>
    </w:p>
    <w:p w:rsidR="00B324E8" w:rsidRPr="001B411B" w:rsidRDefault="00E85CF1" w:rsidP="004A08E5">
      <w:pPr>
        <w:pStyle w:val="author"/>
      </w:pPr>
      <w:proofErr w:type="spellStart"/>
      <w:r w:rsidRPr="00E85CF1">
        <w:t>Miryuk</w:t>
      </w:r>
      <w:proofErr w:type="spellEnd"/>
      <w:r w:rsidRPr="001B411B">
        <w:t xml:space="preserve"> </w:t>
      </w:r>
      <w:proofErr w:type="gramStart"/>
      <w:r w:rsidRPr="00E85CF1">
        <w:t>O</w:t>
      </w:r>
      <w:r w:rsidRPr="001B411B">
        <w:t>.</w:t>
      </w:r>
      <w:r w:rsidRPr="00E85CF1">
        <w:t>A</w:t>
      </w:r>
      <w:r w:rsidRPr="001B411B">
        <w:t>.</w:t>
      </w:r>
      <w:r w:rsidR="00B324E8" w:rsidRPr="001B411B">
        <w:rPr>
          <w:vertAlign w:val="superscript"/>
        </w:rPr>
        <w:t>1</w:t>
      </w:r>
      <w:r w:rsidR="00B324E8" w:rsidRPr="001B411B">
        <w:rPr>
          <w:rStyle w:val="ORCID"/>
        </w:rPr>
        <w:t>[</w:t>
      </w:r>
      <w:proofErr w:type="gramEnd"/>
      <w:r w:rsidR="00F83DFF" w:rsidRPr="007A497B">
        <w:rPr>
          <w:vertAlign w:val="superscript"/>
        </w:rPr>
        <w:fldChar w:fldCharType="begin"/>
      </w:r>
      <w:r w:rsidR="007A497B" w:rsidRPr="001B411B">
        <w:rPr>
          <w:vertAlign w:val="superscript"/>
        </w:rPr>
        <w:instrText xml:space="preserve"> </w:instrText>
      </w:r>
      <w:r w:rsidR="007A497B" w:rsidRPr="007A497B">
        <w:rPr>
          <w:vertAlign w:val="superscript"/>
        </w:rPr>
        <w:instrText>HYPERLINK</w:instrText>
      </w:r>
      <w:r w:rsidR="007A497B" w:rsidRPr="001B411B">
        <w:rPr>
          <w:vertAlign w:val="superscript"/>
        </w:rPr>
        <w:instrText xml:space="preserve"> "</w:instrText>
      </w:r>
      <w:r w:rsidR="007A497B" w:rsidRPr="007A497B">
        <w:rPr>
          <w:vertAlign w:val="superscript"/>
        </w:rPr>
        <w:instrText>https</w:instrText>
      </w:r>
      <w:r w:rsidR="007A497B" w:rsidRPr="001B411B">
        <w:rPr>
          <w:vertAlign w:val="superscript"/>
        </w:rPr>
        <w:instrText>://</w:instrText>
      </w:r>
      <w:r w:rsidR="007A497B" w:rsidRPr="007A497B">
        <w:rPr>
          <w:vertAlign w:val="superscript"/>
        </w:rPr>
        <w:instrText>orcid</w:instrText>
      </w:r>
      <w:r w:rsidR="007A497B" w:rsidRPr="001B411B">
        <w:rPr>
          <w:vertAlign w:val="superscript"/>
        </w:rPr>
        <w:instrText>.</w:instrText>
      </w:r>
      <w:r w:rsidR="007A497B" w:rsidRPr="007A497B">
        <w:rPr>
          <w:vertAlign w:val="superscript"/>
        </w:rPr>
        <w:instrText>org</w:instrText>
      </w:r>
      <w:r w:rsidR="007A497B" w:rsidRPr="001B411B">
        <w:rPr>
          <w:vertAlign w:val="superscript"/>
        </w:rPr>
        <w:instrText>/0000-0001-6892-2763" \</w:instrText>
      </w:r>
      <w:r w:rsidR="007A497B" w:rsidRPr="007A497B">
        <w:rPr>
          <w:vertAlign w:val="superscript"/>
        </w:rPr>
        <w:instrText>t</w:instrText>
      </w:r>
      <w:r w:rsidR="007A497B" w:rsidRPr="001B411B">
        <w:rPr>
          <w:vertAlign w:val="superscript"/>
        </w:rPr>
        <w:instrText xml:space="preserve"> "_</w:instrText>
      </w:r>
      <w:r w:rsidR="007A497B" w:rsidRPr="007A497B">
        <w:rPr>
          <w:vertAlign w:val="superscript"/>
        </w:rPr>
        <w:instrText>blank</w:instrText>
      </w:r>
      <w:r w:rsidR="007A497B" w:rsidRPr="001B411B">
        <w:rPr>
          <w:vertAlign w:val="superscript"/>
        </w:rPr>
        <w:instrText xml:space="preserve">" </w:instrText>
      </w:r>
      <w:r w:rsidR="00F83DFF" w:rsidRPr="007A497B">
        <w:rPr>
          <w:vertAlign w:val="superscript"/>
        </w:rPr>
        <w:fldChar w:fldCharType="separate"/>
      </w:r>
      <w:r w:rsidR="007A497B" w:rsidRPr="001B411B">
        <w:rPr>
          <w:rStyle w:val="a3"/>
          <w:vertAlign w:val="superscript"/>
        </w:rPr>
        <w:t>0000-0001-6892-2763</w:t>
      </w:r>
      <w:r w:rsidR="00F83DFF" w:rsidRPr="007A497B">
        <w:rPr>
          <w:vertAlign w:val="superscript"/>
        </w:rPr>
        <w:fldChar w:fldCharType="end"/>
      </w:r>
      <w:r w:rsidR="00B324E8" w:rsidRPr="001B411B">
        <w:rPr>
          <w:rStyle w:val="ORCID"/>
        </w:rPr>
        <w:t>]</w:t>
      </w:r>
    </w:p>
    <w:p w:rsidR="00B324E8" w:rsidRPr="00EE426C" w:rsidRDefault="00B324E8" w:rsidP="00B324E8">
      <w:pPr>
        <w:pStyle w:val="address"/>
      </w:pPr>
      <w:r w:rsidRPr="00EE426C">
        <w:rPr>
          <w:vertAlign w:val="superscript"/>
        </w:rPr>
        <w:t>1</w:t>
      </w:r>
      <w:r w:rsidR="007A497B" w:rsidRPr="00E758C4">
        <w:rPr>
          <w:szCs w:val="18"/>
        </w:rPr>
        <w:t>Rudny Industrial Institute</w:t>
      </w:r>
      <w:r w:rsidR="007A497B">
        <w:rPr>
          <w:szCs w:val="18"/>
        </w:rPr>
        <w:t>,</w:t>
      </w:r>
      <w:r w:rsidR="007A497B" w:rsidRPr="007A497B">
        <w:rPr>
          <w:szCs w:val="18"/>
        </w:rPr>
        <w:t xml:space="preserve"> </w:t>
      </w:r>
      <w:proofErr w:type="spellStart"/>
      <w:r w:rsidR="007A497B" w:rsidRPr="00E758C4">
        <w:rPr>
          <w:szCs w:val="18"/>
        </w:rPr>
        <w:t>Rudny</w:t>
      </w:r>
      <w:proofErr w:type="spellEnd"/>
      <w:r w:rsidR="007A497B" w:rsidRPr="00E758C4">
        <w:rPr>
          <w:szCs w:val="18"/>
        </w:rPr>
        <w:t xml:space="preserve">, </w:t>
      </w:r>
      <w:proofErr w:type="spellStart"/>
      <w:r w:rsidR="007A497B" w:rsidRPr="00E758C4">
        <w:rPr>
          <w:szCs w:val="18"/>
        </w:rPr>
        <w:t>Kostanay</w:t>
      </w:r>
      <w:proofErr w:type="spellEnd"/>
      <w:r w:rsidR="007A497B" w:rsidRPr="00E758C4">
        <w:rPr>
          <w:szCs w:val="18"/>
        </w:rPr>
        <w:t xml:space="preserve"> Region, Kazakhstan  </w:t>
      </w:r>
    </w:p>
    <w:p w:rsidR="00B324E8" w:rsidRPr="002111EC" w:rsidRDefault="00E85CF1" w:rsidP="00B324E8">
      <w:pPr>
        <w:pStyle w:val="address"/>
        <w:rPr>
          <w:rFonts w:ascii="Courier New" w:hAnsi="Courier New" w:cs="Courier New"/>
        </w:rPr>
      </w:pPr>
      <w:r w:rsidRPr="00E85CF1">
        <w:rPr>
          <w:rFonts w:ascii="Courier New" w:hAnsi="Courier New" w:cs="Courier New"/>
        </w:rPr>
        <w:t>psm</w:t>
      </w:r>
      <w:r w:rsidRPr="002111EC">
        <w:rPr>
          <w:rFonts w:ascii="Courier New" w:hAnsi="Courier New" w:cs="Courier New"/>
        </w:rPr>
        <w:t>58@</w:t>
      </w:r>
      <w:r w:rsidRPr="00E85CF1">
        <w:rPr>
          <w:rFonts w:ascii="Courier New" w:hAnsi="Courier New" w:cs="Courier New"/>
        </w:rPr>
        <w:t>mail</w:t>
      </w:r>
      <w:r w:rsidRPr="002111EC">
        <w:rPr>
          <w:rFonts w:ascii="Courier New" w:hAnsi="Courier New" w:cs="Courier New"/>
        </w:rPr>
        <w:t>.</w:t>
      </w:r>
      <w:r w:rsidRPr="00E85CF1">
        <w:rPr>
          <w:rFonts w:ascii="Courier New" w:hAnsi="Courier New" w:cs="Courier New"/>
        </w:rPr>
        <w:t>ru</w:t>
      </w:r>
    </w:p>
    <w:p w:rsidR="00271511" w:rsidRDefault="00B324E8" w:rsidP="00574140">
      <w:pPr>
        <w:pStyle w:val="a9"/>
        <w:widowControl w:val="0"/>
        <w:spacing w:before="600" w:line="220" w:lineRule="atLeast"/>
        <w:ind w:left="567" w:right="567"/>
        <w:contextualSpacing/>
        <w:jc w:val="both"/>
        <w:rPr>
          <w:rFonts w:ascii="Times New Roman" w:hAnsi="Times New Roman"/>
          <w:bCs/>
          <w:lang w:val="en-US"/>
        </w:rPr>
      </w:pPr>
      <w:r w:rsidRPr="00284003">
        <w:rPr>
          <w:rFonts w:ascii="Times New Roman" w:hAnsi="Times New Roman"/>
          <w:b/>
          <w:bCs/>
          <w:sz w:val="18"/>
          <w:szCs w:val="18"/>
          <w:lang w:val="en-US"/>
        </w:rPr>
        <w:t>Abstract.</w:t>
      </w:r>
      <w:r w:rsidRPr="00284003">
        <w:rPr>
          <w:rFonts w:ascii="Times New Roman" w:hAnsi="Times New Roman"/>
          <w:bCs/>
          <w:lang w:val="en-US"/>
        </w:rPr>
        <w:t xml:space="preserve"> </w:t>
      </w:r>
      <w:r w:rsidR="00271511" w:rsidRPr="00271511">
        <w:rPr>
          <w:rFonts w:ascii="Times New Roman" w:hAnsi="Times New Roman"/>
          <w:bCs/>
          <w:sz w:val="18"/>
          <w:szCs w:val="18"/>
          <w:lang w:val="en-US"/>
        </w:rPr>
        <w:t xml:space="preserve">The </w:t>
      </w:r>
      <w:r w:rsidR="00271511">
        <w:rPr>
          <w:rFonts w:ascii="Times New Roman" w:hAnsi="Times New Roman"/>
          <w:bCs/>
          <w:sz w:val="18"/>
          <w:szCs w:val="18"/>
          <w:lang w:val="en-US"/>
        </w:rPr>
        <w:t>paper</w:t>
      </w:r>
      <w:r w:rsidR="00271511" w:rsidRPr="00271511">
        <w:rPr>
          <w:rFonts w:ascii="Times New Roman" w:hAnsi="Times New Roman"/>
          <w:bCs/>
          <w:sz w:val="18"/>
          <w:szCs w:val="18"/>
          <w:lang w:val="en-US"/>
        </w:rPr>
        <w:t xml:space="preserve"> presents the results of studies of magnesia compositions of porous structure. The possibility of pore formation in the structure of magnesia materials by various technological methods is shown. It was found that the high adhesive capacity of magnesia binders allows the use of fillers of various origins in compositions. The characteristics of magnesia compositions containing an ash microsphere, expanded polystyrene, expanded granules based on liquid glass, and porous magnesia granules are determined. A combination of </w:t>
      </w:r>
      <w:proofErr w:type="spellStart"/>
      <w:r w:rsidR="00271511" w:rsidRPr="00271511">
        <w:rPr>
          <w:rFonts w:ascii="Times New Roman" w:hAnsi="Times New Roman"/>
          <w:bCs/>
          <w:sz w:val="18"/>
          <w:szCs w:val="18"/>
          <w:lang w:val="en-US"/>
        </w:rPr>
        <w:t>porization</w:t>
      </w:r>
      <w:proofErr w:type="spellEnd"/>
      <w:r w:rsidR="00271511" w:rsidRPr="00271511">
        <w:rPr>
          <w:rFonts w:ascii="Times New Roman" w:hAnsi="Times New Roman"/>
          <w:bCs/>
          <w:sz w:val="18"/>
          <w:szCs w:val="18"/>
          <w:lang w:val="en-US"/>
        </w:rPr>
        <w:t xml:space="preserve"> methods is proposed for the formation of low-density magnesia compositions.</w:t>
      </w:r>
      <w:r w:rsidR="00271511" w:rsidRPr="00271511">
        <w:rPr>
          <w:lang w:val="en-US"/>
        </w:rPr>
        <w:t xml:space="preserve"> </w:t>
      </w:r>
      <w:r w:rsidR="00271511" w:rsidRPr="00271511">
        <w:rPr>
          <w:rFonts w:ascii="Times New Roman" w:hAnsi="Times New Roman"/>
          <w:bCs/>
          <w:sz w:val="18"/>
          <w:szCs w:val="18"/>
          <w:lang w:val="en-US"/>
        </w:rPr>
        <w:t xml:space="preserve">A comparative analysis of the mechanical and thermal properties of porous magnesia compositions of various preparations is carried out. The advantages of complex </w:t>
      </w:r>
      <w:proofErr w:type="spellStart"/>
      <w:r w:rsidR="00271511" w:rsidRPr="00271511">
        <w:rPr>
          <w:rFonts w:ascii="Times New Roman" w:hAnsi="Times New Roman"/>
          <w:bCs/>
          <w:sz w:val="18"/>
          <w:szCs w:val="18"/>
          <w:lang w:val="en-US"/>
        </w:rPr>
        <w:t>porization</w:t>
      </w:r>
      <w:proofErr w:type="spellEnd"/>
      <w:r w:rsidR="00271511" w:rsidRPr="00271511">
        <w:rPr>
          <w:rFonts w:ascii="Times New Roman" w:hAnsi="Times New Roman"/>
          <w:bCs/>
          <w:sz w:val="18"/>
          <w:szCs w:val="18"/>
          <w:lang w:val="en-US"/>
        </w:rPr>
        <w:t xml:space="preserve"> of magnesia compositions due to a combination of mechanisms of foaming, gas formation and in</w:t>
      </w:r>
      <w:r w:rsidR="00271511">
        <w:rPr>
          <w:rFonts w:ascii="Times New Roman" w:hAnsi="Times New Roman"/>
          <w:bCs/>
          <w:sz w:val="18"/>
          <w:szCs w:val="18"/>
          <w:lang w:val="en-US"/>
        </w:rPr>
        <w:t>sertion</w:t>
      </w:r>
      <w:r w:rsidR="00271511" w:rsidRPr="00271511">
        <w:rPr>
          <w:rFonts w:ascii="Times New Roman" w:hAnsi="Times New Roman"/>
          <w:bCs/>
          <w:sz w:val="18"/>
          <w:szCs w:val="18"/>
          <w:lang w:val="en-US"/>
        </w:rPr>
        <w:t xml:space="preserve"> of fillers of a porous structure are revealed. Magnesia compositions containing integral fillers of various shapes and origins are proposed. Multi-component compositions are chara</w:t>
      </w:r>
      <w:r w:rsidR="00271511">
        <w:rPr>
          <w:rFonts w:ascii="Times New Roman" w:hAnsi="Times New Roman"/>
          <w:bCs/>
          <w:sz w:val="18"/>
          <w:szCs w:val="18"/>
          <w:lang w:val="en-US"/>
        </w:rPr>
        <w:t>cterized by a density of 540 kg</w:t>
      </w:r>
      <w:r w:rsidR="00271511" w:rsidRPr="00271511">
        <w:rPr>
          <w:rFonts w:ascii="Times New Roman" w:hAnsi="Times New Roman"/>
          <w:bCs/>
          <w:sz w:val="18"/>
          <w:szCs w:val="18"/>
          <w:lang w:val="en-US"/>
        </w:rPr>
        <w:t>/m</w:t>
      </w:r>
      <w:r w:rsidR="00271511" w:rsidRPr="00271511">
        <w:rPr>
          <w:rFonts w:ascii="Times New Roman" w:hAnsi="Times New Roman"/>
          <w:bCs/>
          <w:sz w:val="18"/>
          <w:szCs w:val="18"/>
          <w:vertAlign w:val="superscript"/>
          <w:lang w:val="en-US"/>
        </w:rPr>
        <w:t>3</w:t>
      </w:r>
      <w:r w:rsidR="00271511" w:rsidRPr="00271511">
        <w:rPr>
          <w:rFonts w:ascii="Times New Roman" w:hAnsi="Times New Roman"/>
          <w:bCs/>
          <w:sz w:val="18"/>
          <w:szCs w:val="18"/>
          <w:lang w:val="en-US"/>
        </w:rPr>
        <w:t xml:space="preserve"> and a compressive strength of 4.1 MPa.</w:t>
      </w:r>
      <w:r w:rsidR="00271511" w:rsidRPr="00271511">
        <w:rPr>
          <w:lang w:val="en-US"/>
        </w:rPr>
        <w:t xml:space="preserve"> </w:t>
      </w:r>
      <w:r w:rsidR="00271511">
        <w:rPr>
          <w:rFonts w:ascii="Times New Roman" w:hAnsi="Times New Roman"/>
          <w:bCs/>
          <w:sz w:val="18"/>
          <w:szCs w:val="18"/>
          <w:lang w:val="en-US"/>
        </w:rPr>
        <w:t>The impact</w:t>
      </w:r>
      <w:r w:rsidR="00271511" w:rsidRPr="00271511">
        <w:rPr>
          <w:rFonts w:ascii="Times New Roman" w:hAnsi="Times New Roman"/>
          <w:bCs/>
          <w:sz w:val="18"/>
          <w:szCs w:val="18"/>
          <w:lang w:val="en-US"/>
        </w:rPr>
        <w:t xml:space="preserve"> of the method of preparing the molding mixture on the strength of porous structures is established. Porous raw materials were developed to produce granulated magnesia aggregate based on caustic magnesite and wood particles. Magnesia aggregate granules are used to obtain granular-cellular and coarse-pore structure of compositions.</w:t>
      </w:r>
    </w:p>
    <w:p w:rsidR="00B324E8" w:rsidRPr="00271511" w:rsidRDefault="00B324E8" w:rsidP="00DF0E86">
      <w:pPr>
        <w:pStyle w:val="keywords"/>
        <w:jc w:val="both"/>
      </w:pPr>
      <w:r w:rsidRPr="0078762E">
        <w:rPr>
          <w:b/>
          <w:bCs/>
        </w:rPr>
        <w:t>Keywords</w:t>
      </w:r>
      <w:r w:rsidRPr="00271511">
        <w:rPr>
          <w:b/>
          <w:bCs/>
        </w:rPr>
        <w:t>:</w:t>
      </w:r>
      <w:r w:rsidRPr="00271511">
        <w:t xml:space="preserve"> </w:t>
      </w:r>
      <w:r w:rsidR="00DF0E86" w:rsidRPr="00271511">
        <w:t>Magnesia Compositions, Granular Porous Aggregate, Molding Properties, Swelling, Porous Structure.</w:t>
      </w:r>
    </w:p>
    <w:p w:rsidR="00F07363" w:rsidRPr="00284003" w:rsidRDefault="00F07363" w:rsidP="00987C60">
      <w:pPr>
        <w:pStyle w:val="heading1"/>
        <w:numPr>
          <w:ilvl w:val="0"/>
          <w:numId w:val="0"/>
        </w:numPr>
        <w:ind w:left="567" w:hanging="567"/>
      </w:pPr>
      <w:r w:rsidRPr="00284003">
        <w:t xml:space="preserve">1 </w:t>
      </w:r>
      <w:r>
        <w:t>Introduction</w:t>
      </w:r>
    </w:p>
    <w:p w:rsidR="00284003" w:rsidRDefault="00284003" w:rsidP="00AB23C8">
      <w:pPr>
        <w:widowControl w:val="0"/>
        <w:kinsoku w:val="0"/>
        <w:spacing w:line="240" w:lineRule="auto"/>
        <w:ind w:firstLine="0"/>
      </w:pPr>
      <w:r w:rsidRPr="00284003">
        <w:t>Magnesia binders are an effective type of low-energy materials characterized by intensive hardening and high strength indicators. The advantages of a magnesia binder are determined by the low energy consumption of production; the ability to harden intensively; high strength and wear resistance; adhesion to any type of aggregate, especially organic; resistance to oils, alkalis, and salts. In many properties, magnesia binder is superior to Portland cement: it does not require a wet environment when hardening; it is decorative and environmentally friendly; provides high fire resistance and low thermal conductivity; has a neutral composition of hardening products; due to a significant amount of chemically bound water, it is suitable for biological protection [1</w:t>
      </w:r>
      <w:r w:rsidR="002111EC" w:rsidRPr="002111EC">
        <w:t xml:space="preserve"> </w:t>
      </w:r>
      <w:r w:rsidR="002111EC" w:rsidRPr="00F857F3">
        <w:rPr>
          <w:color w:val="1D1B11" w:themeColor="background2" w:themeShade="1A"/>
          <w:sz w:val="17"/>
          <w:szCs w:val="17"/>
        </w:rPr>
        <w:t>–</w:t>
      </w:r>
      <w:r w:rsidR="002111EC" w:rsidRPr="002111EC">
        <w:rPr>
          <w:color w:val="1D1B11" w:themeColor="background2" w:themeShade="1A"/>
          <w:sz w:val="17"/>
          <w:szCs w:val="17"/>
        </w:rPr>
        <w:t xml:space="preserve"> </w:t>
      </w:r>
      <w:r w:rsidRPr="00284003">
        <w:t>10].</w:t>
      </w:r>
    </w:p>
    <w:p w:rsidR="00E850E0" w:rsidRDefault="00E850E0" w:rsidP="00613209">
      <w:pPr>
        <w:widowControl w:val="0"/>
        <w:kinsoku w:val="0"/>
        <w:spacing w:line="240" w:lineRule="auto"/>
      </w:pPr>
      <w:r w:rsidRPr="00E850E0">
        <w:t xml:space="preserve">The combination of caustic magnesite with natural and </w:t>
      </w:r>
      <w:r>
        <w:t>technogenic</w:t>
      </w:r>
      <w:r w:rsidRPr="00E850E0">
        <w:t xml:space="preserve"> materials </w:t>
      </w:r>
      <w:r w:rsidRPr="00E850E0">
        <w:lastRenderedPageBreak/>
        <w:t xml:space="preserve">expands the range and increases the volume of production of magnesia cements. Advantages of mixed binders </w:t>
      </w:r>
      <w:r>
        <w:t xml:space="preserve">are </w:t>
      </w:r>
      <w:r w:rsidRPr="00E850E0">
        <w:t xml:space="preserve">in improving physical and mechanical characteristics while saving magnesia cement and rational use of natural and </w:t>
      </w:r>
      <w:r>
        <w:t>technogenic</w:t>
      </w:r>
      <w:r w:rsidRPr="00E850E0">
        <w:t xml:space="preserve"> silicates [1, 6, </w:t>
      </w:r>
      <w:proofErr w:type="gramStart"/>
      <w:r w:rsidRPr="00E850E0">
        <w:t>7</w:t>
      </w:r>
      <w:proofErr w:type="gramEnd"/>
      <w:r w:rsidRPr="00E850E0">
        <w:t>].</w:t>
      </w:r>
    </w:p>
    <w:p w:rsidR="00E850E0" w:rsidRPr="00E850E0" w:rsidRDefault="00E850E0" w:rsidP="00E850E0">
      <w:pPr>
        <w:widowControl w:val="0"/>
        <w:kinsoku w:val="0"/>
        <w:spacing w:line="240" w:lineRule="auto"/>
        <w:rPr>
          <w:spacing w:val="-6"/>
        </w:rPr>
      </w:pPr>
      <w:r w:rsidRPr="00E850E0">
        <w:rPr>
          <w:spacing w:val="-6"/>
        </w:rPr>
        <w:t>Analysis of scientific and technical information indicates the active development of the technology of magnesia composite materials with different structures and characterized by a wide range of properties.</w:t>
      </w:r>
    </w:p>
    <w:p w:rsidR="00E850E0" w:rsidRDefault="00E850E0" w:rsidP="00E850E0">
      <w:pPr>
        <w:widowControl w:val="0"/>
        <w:kinsoku w:val="0"/>
        <w:spacing w:line="240" w:lineRule="auto"/>
        <w:rPr>
          <w:spacing w:val="-6"/>
        </w:rPr>
      </w:pPr>
      <w:r w:rsidRPr="00E850E0">
        <w:rPr>
          <w:spacing w:val="-6"/>
        </w:rPr>
        <w:t>The aim of this work is to study porous magnesia compositions with fillers of various origins.</w:t>
      </w:r>
    </w:p>
    <w:p w:rsidR="00F54214" w:rsidRPr="00E850E0" w:rsidRDefault="00AB23C8" w:rsidP="00F54214">
      <w:pPr>
        <w:tabs>
          <w:tab w:val="left" w:pos="3300"/>
        </w:tabs>
        <w:spacing w:before="360" w:after="240" w:line="300" w:lineRule="atLeast"/>
        <w:ind w:firstLine="0"/>
        <w:rPr>
          <w:b/>
          <w:sz w:val="24"/>
          <w:szCs w:val="24"/>
        </w:rPr>
      </w:pPr>
      <w:r w:rsidRPr="00E850E0">
        <w:rPr>
          <w:b/>
          <w:sz w:val="24"/>
          <w:szCs w:val="24"/>
        </w:rPr>
        <w:t>2</w:t>
      </w:r>
      <w:r w:rsidR="00613209" w:rsidRPr="00E850E0">
        <w:rPr>
          <w:b/>
          <w:sz w:val="24"/>
          <w:szCs w:val="24"/>
        </w:rPr>
        <w:t xml:space="preserve"> </w:t>
      </w:r>
      <w:r w:rsidR="00F54214" w:rsidRPr="00F54214">
        <w:rPr>
          <w:b/>
          <w:sz w:val="24"/>
          <w:szCs w:val="24"/>
        </w:rPr>
        <w:t>Materials</w:t>
      </w:r>
      <w:r w:rsidR="00F54214" w:rsidRPr="00E850E0">
        <w:rPr>
          <w:b/>
          <w:sz w:val="24"/>
          <w:szCs w:val="24"/>
        </w:rPr>
        <w:t xml:space="preserve"> </w:t>
      </w:r>
      <w:r w:rsidR="00F54214" w:rsidRPr="00F54214">
        <w:rPr>
          <w:b/>
          <w:sz w:val="24"/>
          <w:szCs w:val="24"/>
        </w:rPr>
        <w:t>and</w:t>
      </w:r>
      <w:r w:rsidR="00F54214" w:rsidRPr="00E850E0">
        <w:rPr>
          <w:b/>
          <w:sz w:val="24"/>
          <w:szCs w:val="24"/>
        </w:rPr>
        <w:t xml:space="preserve"> </w:t>
      </w:r>
      <w:r w:rsidR="00DF0E86" w:rsidRPr="00F54214">
        <w:rPr>
          <w:b/>
          <w:sz w:val="24"/>
          <w:szCs w:val="24"/>
        </w:rPr>
        <w:t>M</w:t>
      </w:r>
      <w:r w:rsidR="00F54214" w:rsidRPr="00F54214">
        <w:rPr>
          <w:b/>
          <w:sz w:val="24"/>
          <w:szCs w:val="24"/>
        </w:rPr>
        <w:t>ethods</w:t>
      </w:r>
      <w:r w:rsidR="00F54214" w:rsidRPr="00E850E0">
        <w:rPr>
          <w:b/>
          <w:sz w:val="24"/>
          <w:szCs w:val="24"/>
        </w:rPr>
        <w:t xml:space="preserve"> </w:t>
      </w:r>
      <w:r w:rsidR="00F54214" w:rsidRPr="00F54214">
        <w:rPr>
          <w:b/>
          <w:sz w:val="24"/>
          <w:szCs w:val="24"/>
        </w:rPr>
        <w:t>of</w:t>
      </w:r>
      <w:r w:rsidR="00F54214" w:rsidRPr="00E850E0">
        <w:rPr>
          <w:b/>
          <w:sz w:val="24"/>
          <w:szCs w:val="24"/>
        </w:rPr>
        <w:t xml:space="preserve"> </w:t>
      </w:r>
      <w:r w:rsidR="00DF0E86">
        <w:rPr>
          <w:b/>
          <w:sz w:val="24"/>
          <w:szCs w:val="24"/>
        </w:rPr>
        <w:t>R</w:t>
      </w:r>
      <w:r w:rsidR="00E850E0">
        <w:rPr>
          <w:b/>
          <w:sz w:val="24"/>
          <w:szCs w:val="24"/>
        </w:rPr>
        <w:t>esearch</w:t>
      </w:r>
    </w:p>
    <w:p w:rsidR="00E850E0" w:rsidRDefault="00E850E0" w:rsidP="00613209">
      <w:pPr>
        <w:widowControl w:val="0"/>
        <w:tabs>
          <w:tab w:val="left" w:pos="3510"/>
        </w:tabs>
        <w:spacing w:line="240" w:lineRule="auto"/>
        <w:ind w:firstLine="0"/>
        <w:rPr>
          <w:color w:val="1D1B11" w:themeColor="background2" w:themeShade="1A"/>
        </w:rPr>
      </w:pPr>
      <w:r w:rsidRPr="00E850E0">
        <w:rPr>
          <w:color w:val="1D1B11" w:themeColor="background2" w:themeShade="1A"/>
        </w:rPr>
        <w:t xml:space="preserve">To obtain magnesia compositions, caustic magnesite of the PMK – 75 </w:t>
      </w:r>
      <w:proofErr w:type="gramStart"/>
      <w:r w:rsidRPr="00E850E0">
        <w:rPr>
          <w:color w:val="1D1B11" w:themeColor="background2" w:themeShade="1A"/>
        </w:rPr>
        <w:t>brand</w:t>
      </w:r>
      <w:proofErr w:type="gramEnd"/>
      <w:r w:rsidRPr="00E850E0">
        <w:rPr>
          <w:color w:val="1D1B11" w:themeColor="background2" w:themeShade="1A"/>
        </w:rPr>
        <w:t xml:space="preserve"> with a content of 80-85% of active </w:t>
      </w:r>
      <w:r w:rsidRPr="000F5F2C">
        <w:rPr>
          <w:color w:val="1D1B11" w:themeColor="background2" w:themeShade="1A"/>
        </w:rPr>
        <w:t>Mg</w:t>
      </w:r>
      <w:r w:rsidRPr="00613209">
        <w:rPr>
          <w:color w:val="1D1B11" w:themeColor="background2" w:themeShade="1A"/>
          <w:lang w:val="ru-RU"/>
        </w:rPr>
        <w:t>О</w:t>
      </w:r>
      <w:r w:rsidRPr="00E850E0">
        <w:rPr>
          <w:color w:val="1D1B11" w:themeColor="background2" w:themeShade="1A"/>
        </w:rPr>
        <w:t xml:space="preserve"> was used. Characteristics of the binder: fineness of grinding – 5% of the residue on the sieve №</w:t>
      </w:r>
      <w:r w:rsidR="002111EC" w:rsidRPr="002111EC">
        <w:rPr>
          <w:color w:val="1D1B11" w:themeColor="background2" w:themeShade="1A"/>
        </w:rPr>
        <w:t xml:space="preserve"> </w:t>
      </w:r>
      <w:r w:rsidRPr="00E850E0">
        <w:rPr>
          <w:color w:val="1D1B11" w:themeColor="background2" w:themeShade="1A"/>
        </w:rPr>
        <w:t>008; normal density 40</w:t>
      </w:r>
      <w:r w:rsidR="002111EC" w:rsidRPr="002111EC">
        <w:rPr>
          <w:color w:val="1D1B11" w:themeColor="background2" w:themeShade="1A"/>
        </w:rPr>
        <w:t xml:space="preserve"> </w:t>
      </w:r>
      <w:r w:rsidR="002111EC" w:rsidRPr="00F857F3">
        <w:rPr>
          <w:color w:val="1D1B11" w:themeColor="background2" w:themeShade="1A"/>
          <w:sz w:val="17"/>
          <w:szCs w:val="17"/>
        </w:rPr>
        <w:t>–</w:t>
      </w:r>
      <w:r w:rsidR="002111EC" w:rsidRPr="002111EC">
        <w:rPr>
          <w:color w:val="1D1B11" w:themeColor="background2" w:themeShade="1A"/>
          <w:sz w:val="17"/>
          <w:szCs w:val="17"/>
        </w:rPr>
        <w:t xml:space="preserve"> </w:t>
      </w:r>
      <w:r w:rsidRPr="00E850E0">
        <w:rPr>
          <w:color w:val="1D1B11" w:themeColor="background2" w:themeShade="1A"/>
        </w:rPr>
        <w:t>45%; setting time: beginning 20 minutes; end</w:t>
      </w:r>
      <w:r>
        <w:rPr>
          <w:color w:val="1D1B11" w:themeColor="background2" w:themeShade="1A"/>
        </w:rPr>
        <w:t xml:space="preserve">ing </w:t>
      </w:r>
      <w:r w:rsidRPr="00E850E0">
        <w:rPr>
          <w:color w:val="1D1B11" w:themeColor="background2" w:themeShade="1A"/>
        </w:rPr>
        <w:t>–</w:t>
      </w:r>
      <w:r>
        <w:rPr>
          <w:color w:val="1D1B11" w:themeColor="background2" w:themeShade="1A"/>
        </w:rPr>
        <w:t xml:space="preserve"> </w:t>
      </w:r>
      <w:r w:rsidRPr="00E850E0">
        <w:rPr>
          <w:color w:val="1D1B11" w:themeColor="background2" w:themeShade="1A"/>
        </w:rPr>
        <w:t xml:space="preserve">2 hours 40 minutes. On the basis of caustic magnesite, mixed binders were prepared, into which a technogenic fine ground filler was </w:t>
      </w:r>
      <w:r>
        <w:rPr>
          <w:color w:val="1D1B11" w:themeColor="background2" w:themeShade="1A"/>
        </w:rPr>
        <w:t xml:space="preserve">inserted </w:t>
      </w:r>
      <w:r w:rsidRPr="00E850E0">
        <w:rPr>
          <w:color w:val="1D1B11" w:themeColor="background2" w:themeShade="1A"/>
        </w:rPr>
        <w:t xml:space="preserve">– </w:t>
      </w:r>
      <w:r>
        <w:rPr>
          <w:color w:val="1D1B11" w:themeColor="background2" w:themeShade="1A"/>
        </w:rPr>
        <w:t xml:space="preserve">refuse </w:t>
      </w:r>
      <w:r w:rsidRPr="00E850E0">
        <w:rPr>
          <w:color w:val="1D1B11" w:themeColor="background2" w:themeShade="1A"/>
        </w:rPr>
        <w:t xml:space="preserve">magnetite ores. Chemical composition of technogenic filler, wt.%: </w:t>
      </w:r>
      <w:r w:rsidRPr="000F5F2C">
        <w:t>SiO</w:t>
      </w:r>
      <w:r w:rsidRPr="00E850E0">
        <w:rPr>
          <w:vertAlign w:val="subscript"/>
        </w:rPr>
        <w:t xml:space="preserve">2 </w:t>
      </w:r>
      <w:r w:rsidRPr="00E850E0">
        <w:t xml:space="preserve">– 41; </w:t>
      </w:r>
      <w:r w:rsidRPr="000F5F2C">
        <w:t>Al</w:t>
      </w:r>
      <w:r w:rsidRPr="00E850E0">
        <w:rPr>
          <w:vertAlign w:val="subscript"/>
        </w:rPr>
        <w:t>2</w:t>
      </w:r>
      <w:r w:rsidRPr="000F5F2C">
        <w:t>O</w:t>
      </w:r>
      <w:r w:rsidRPr="00E850E0">
        <w:rPr>
          <w:vertAlign w:val="subscript"/>
        </w:rPr>
        <w:t xml:space="preserve">3 </w:t>
      </w:r>
      <w:r w:rsidRPr="00E850E0">
        <w:t xml:space="preserve">– 13; </w:t>
      </w:r>
      <w:r w:rsidRPr="000F5F2C">
        <w:t>Fe</w:t>
      </w:r>
      <w:r w:rsidRPr="00E850E0">
        <w:rPr>
          <w:vertAlign w:val="subscript"/>
        </w:rPr>
        <w:t>2</w:t>
      </w:r>
      <w:r w:rsidRPr="000F5F2C">
        <w:t>O</w:t>
      </w:r>
      <w:r w:rsidRPr="00E850E0">
        <w:rPr>
          <w:vertAlign w:val="subscript"/>
        </w:rPr>
        <w:t xml:space="preserve">3 </w:t>
      </w:r>
      <w:r w:rsidRPr="00E850E0">
        <w:t xml:space="preserve">– 16; </w:t>
      </w:r>
      <w:proofErr w:type="spellStart"/>
      <w:r w:rsidRPr="000F5F2C">
        <w:t>CaO</w:t>
      </w:r>
      <w:proofErr w:type="spellEnd"/>
      <w:r w:rsidRPr="00E850E0">
        <w:t xml:space="preserve"> – 12; </w:t>
      </w:r>
      <w:proofErr w:type="spellStart"/>
      <w:r w:rsidRPr="000F5F2C">
        <w:t>MgO</w:t>
      </w:r>
      <w:proofErr w:type="spellEnd"/>
      <w:r w:rsidRPr="00E850E0">
        <w:t xml:space="preserve"> – 6; </w:t>
      </w:r>
      <w:r w:rsidRPr="000F5F2C">
        <w:t>SO</w:t>
      </w:r>
      <w:r w:rsidRPr="00E850E0">
        <w:rPr>
          <w:vertAlign w:val="subscript"/>
        </w:rPr>
        <w:t xml:space="preserve">3 </w:t>
      </w:r>
      <w:r w:rsidRPr="00E850E0">
        <w:t xml:space="preserve">– 4; </w:t>
      </w:r>
      <w:r w:rsidRPr="000F5F2C">
        <w:t>R</w:t>
      </w:r>
      <w:r w:rsidRPr="00E850E0">
        <w:rPr>
          <w:vertAlign w:val="subscript"/>
        </w:rPr>
        <w:t>2</w:t>
      </w:r>
      <w:r w:rsidRPr="000F5F2C">
        <w:t>O</w:t>
      </w:r>
      <w:r w:rsidRPr="00E850E0">
        <w:rPr>
          <w:vertAlign w:val="subscript"/>
        </w:rPr>
        <w:t xml:space="preserve">3 </w:t>
      </w:r>
      <w:r w:rsidRPr="00E850E0">
        <w:t xml:space="preserve">– 3; </w:t>
      </w:r>
      <w:r>
        <w:rPr>
          <w:color w:val="1D1B11" w:themeColor="background2" w:themeShade="1A"/>
        </w:rPr>
        <w:t xml:space="preserve">other </w:t>
      </w:r>
      <w:r w:rsidRPr="00E850E0">
        <w:t>–</w:t>
      </w:r>
      <w:r>
        <w:t xml:space="preserve"> </w:t>
      </w:r>
      <w:r w:rsidRPr="00E850E0">
        <w:rPr>
          <w:color w:val="1D1B11" w:themeColor="background2" w:themeShade="1A"/>
        </w:rPr>
        <w:t xml:space="preserve">2; </w:t>
      </w:r>
      <w:proofErr w:type="spellStart"/>
      <w:r>
        <w:rPr>
          <w:color w:val="1D1B11" w:themeColor="background2" w:themeShade="1A"/>
        </w:rPr>
        <w:t>p.o.i</w:t>
      </w:r>
      <w:proofErr w:type="spellEnd"/>
      <w:r>
        <w:rPr>
          <w:color w:val="1D1B11" w:themeColor="background2" w:themeShade="1A"/>
        </w:rPr>
        <w:t xml:space="preserve">. </w:t>
      </w:r>
      <w:r w:rsidRPr="00E850E0">
        <w:t>–</w:t>
      </w:r>
      <w:r>
        <w:t xml:space="preserve"> </w:t>
      </w:r>
      <w:r w:rsidRPr="00E850E0">
        <w:rPr>
          <w:color w:val="1D1B11" w:themeColor="background2" w:themeShade="1A"/>
        </w:rPr>
        <w:t xml:space="preserve">3. Calcium silicates and </w:t>
      </w:r>
      <w:proofErr w:type="spellStart"/>
      <w:r w:rsidRPr="00E850E0">
        <w:rPr>
          <w:color w:val="1D1B11" w:themeColor="background2" w:themeShade="1A"/>
        </w:rPr>
        <w:t>aluminosilicates</w:t>
      </w:r>
      <w:proofErr w:type="spellEnd"/>
      <w:r w:rsidRPr="00E850E0">
        <w:rPr>
          <w:color w:val="1D1B11" w:themeColor="background2" w:themeShade="1A"/>
        </w:rPr>
        <w:t xml:space="preserve"> form the mineral basis of </w:t>
      </w:r>
      <w:r>
        <w:rPr>
          <w:color w:val="1D1B11" w:themeColor="background2" w:themeShade="1A"/>
        </w:rPr>
        <w:t xml:space="preserve">refuse </w:t>
      </w:r>
      <w:r w:rsidRPr="00E850E0">
        <w:rPr>
          <w:color w:val="1D1B11" w:themeColor="background2" w:themeShade="1A"/>
        </w:rPr>
        <w:t>magnetite ore.</w:t>
      </w:r>
    </w:p>
    <w:p w:rsidR="00E850E0" w:rsidRDefault="00E850E0" w:rsidP="00E850E0">
      <w:pPr>
        <w:widowControl w:val="0"/>
        <w:kinsoku w:val="0"/>
        <w:spacing w:line="240" w:lineRule="auto"/>
      </w:pPr>
      <w:r w:rsidRPr="00E850E0">
        <w:t>Magnesium chloride solution with a density of 1230 kg/m</w:t>
      </w:r>
      <w:r w:rsidRPr="00E850E0">
        <w:rPr>
          <w:vertAlign w:val="superscript"/>
        </w:rPr>
        <w:t>3</w:t>
      </w:r>
      <w:r w:rsidRPr="00E850E0">
        <w:t xml:space="preserve"> was used for mixing magnesia compositions.</w:t>
      </w:r>
      <w:r w:rsidR="002111EC" w:rsidRPr="002111EC">
        <w:t xml:space="preserve"> </w:t>
      </w:r>
      <w:r w:rsidRPr="00E850E0">
        <w:t>To form the porous structure of magnesia materials, a protein-based foaming agent was in</w:t>
      </w:r>
      <w:r>
        <w:t>serted</w:t>
      </w:r>
      <w:r w:rsidRPr="00E850E0">
        <w:t>; the gas-forming agent was an aqueous solution of hydrogen peroxide H</w:t>
      </w:r>
      <w:r w:rsidRPr="00E850E0">
        <w:rPr>
          <w:vertAlign w:val="subscript"/>
        </w:rPr>
        <w:t>2</w:t>
      </w:r>
      <w:r w:rsidRPr="00E850E0">
        <w:t>O</w:t>
      </w:r>
      <w:r w:rsidRPr="00E850E0">
        <w:rPr>
          <w:vertAlign w:val="subscript"/>
        </w:rPr>
        <w:t>2</w:t>
      </w:r>
      <w:r w:rsidRPr="00E850E0">
        <w:t xml:space="preserve"> with a concentration of 40%.</w:t>
      </w:r>
    </w:p>
    <w:p w:rsidR="00E850E0" w:rsidRPr="00E850E0" w:rsidRDefault="00E850E0" w:rsidP="00E850E0">
      <w:pPr>
        <w:widowControl w:val="0"/>
        <w:kinsoku w:val="0"/>
        <w:spacing w:line="240" w:lineRule="auto"/>
      </w:pPr>
      <w:r w:rsidRPr="00E850E0">
        <w:t xml:space="preserve">Materials of various </w:t>
      </w:r>
      <w:proofErr w:type="gramStart"/>
      <w:r w:rsidRPr="00E850E0">
        <w:t>origin</w:t>
      </w:r>
      <w:proofErr w:type="gramEnd"/>
      <w:r w:rsidRPr="00E850E0">
        <w:t xml:space="preserve"> are used as aggregates of magnesia compositions: ash microspheres, expanded polystyrene, granules based on liquid glass and magnesia granular particles.</w:t>
      </w:r>
    </w:p>
    <w:p w:rsidR="00E850E0" w:rsidRPr="00E850E0" w:rsidRDefault="00E850E0" w:rsidP="00E850E0">
      <w:pPr>
        <w:widowControl w:val="0"/>
        <w:kinsoku w:val="0"/>
        <w:spacing w:line="240" w:lineRule="auto"/>
      </w:pPr>
      <w:r w:rsidRPr="00E850E0">
        <w:t>Microspheres of energy ash are hollow solid particles of small size: particles with a diameter of 100</w:t>
      </w:r>
      <w:r w:rsidR="002111EC" w:rsidRPr="002111EC">
        <w:t xml:space="preserve"> </w:t>
      </w:r>
      <w:r w:rsidR="002111EC" w:rsidRPr="00F857F3">
        <w:rPr>
          <w:color w:val="1D1B11" w:themeColor="background2" w:themeShade="1A"/>
          <w:sz w:val="17"/>
          <w:szCs w:val="17"/>
        </w:rPr>
        <w:t>–</w:t>
      </w:r>
      <w:r w:rsidR="002111EC" w:rsidRPr="002111EC">
        <w:rPr>
          <w:color w:val="1D1B11" w:themeColor="background2" w:themeShade="1A"/>
          <w:sz w:val="17"/>
          <w:szCs w:val="17"/>
        </w:rPr>
        <w:t xml:space="preserve"> </w:t>
      </w:r>
      <w:r w:rsidRPr="00E850E0">
        <w:t>250 microns make up almost 75%; par</w:t>
      </w:r>
      <w:r>
        <w:t xml:space="preserve">ticles smaller than 100 microns </w:t>
      </w:r>
      <w:r w:rsidRPr="00E850E0">
        <w:t>–</w:t>
      </w:r>
      <w:r>
        <w:t xml:space="preserve"> </w:t>
      </w:r>
      <w:r w:rsidRPr="00E850E0">
        <w:t>up to 15%; other spheres with a diameter of 250</w:t>
      </w:r>
      <w:r w:rsidR="002111EC" w:rsidRPr="002111EC">
        <w:t xml:space="preserve"> </w:t>
      </w:r>
      <w:r w:rsidR="002111EC" w:rsidRPr="00F857F3">
        <w:rPr>
          <w:color w:val="1D1B11" w:themeColor="background2" w:themeShade="1A"/>
          <w:sz w:val="17"/>
          <w:szCs w:val="17"/>
        </w:rPr>
        <w:t>–</w:t>
      </w:r>
      <w:r w:rsidR="002111EC" w:rsidRPr="002111EC">
        <w:rPr>
          <w:color w:val="1D1B11" w:themeColor="background2" w:themeShade="1A"/>
          <w:sz w:val="17"/>
          <w:szCs w:val="17"/>
        </w:rPr>
        <w:t xml:space="preserve"> </w:t>
      </w:r>
      <w:r w:rsidRPr="00E850E0">
        <w:t>500 microns. The bulk density is 400 kg/m</w:t>
      </w:r>
      <w:r w:rsidRPr="00E850E0">
        <w:rPr>
          <w:vertAlign w:val="superscript"/>
        </w:rPr>
        <w:t>3</w:t>
      </w:r>
      <w:r w:rsidRPr="00E850E0">
        <w:t>.</w:t>
      </w:r>
    </w:p>
    <w:p w:rsidR="00E850E0" w:rsidRPr="00E850E0" w:rsidRDefault="00DB6899" w:rsidP="00E850E0">
      <w:pPr>
        <w:widowControl w:val="0"/>
        <w:tabs>
          <w:tab w:val="left" w:pos="3510"/>
        </w:tabs>
        <w:spacing w:line="240" w:lineRule="auto"/>
      </w:pPr>
      <w:r>
        <w:t xml:space="preserve">Granular polymer aggregate </w:t>
      </w:r>
      <w:r w:rsidRPr="00DB6899">
        <w:t>–</w:t>
      </w:r>
      <w:r>
        <w:t xml:space="preserve"> </w:t>
      </w:r>
      <w:r w:rsidR="00E850E0" w:rsidRPr="00E850E0">
        <w:t>expanded polystyrene</w:t>
      </w:r>
      <w:r>
        <w:t xml:space="preserve"> </w:t>
      </w:r>
      <w:r w:rsidRPr="00DB6899">
        <w:t>–</w:t>
      </w:r>
      <w:r>
        <w:t xml:space="preserve"> </w:t>
      </w:r>
      <w:r w:rsidR="00E850E0" w:rsidRPr="00E850E0">
        <w:t>granules up to 5 mm in size, obtained by breaking down used foam packag</w:t>
      </w:r>
      <w:r>
        <w:t>es with a bulk density of 15 kg/</w:t>
      </w:r>
      <w:r w:rsidR="00E850E0" w:rsidRPr="00E850E0">
        <w:t>m</w:t>
      </w:r>
      <w:r w:rsidR="00E850E0" w:rsidRPr="00DB6899">
        <w:rPr>
          <w:vertAlign w:val="superscript"/>
        </w:rPr>
        <w:t>3</w:t>
      </w:r>
      <w:r w:rsidR="00E850E0" w:rsidRPr="00E850E0">
        <w:t>.</w:t>
      </w:r>
    </w:p>
    <w:p w:rsidR="00E850E0" w:rsidRDefault="00DB6899" w:rsidP="002111EC">
      <w:pPr>
        <w:widowControl w:val="0"/>
        <w:tabs>
          <w:tab w:val="left" w:pos="3510"/>
        </w:tabs>
        <w:spacing w:after="120" w:line="240" w:lineRule="auto"/>
      </w:pPr>
      <w:r>
        <w:t xml:space="preserve">Swelling </w:t>
      </w:r>
      <w:r w:rsidR="00E850E0" w:rsidRPr="00E850E0">
        <w:t>granules based on liquid glass</w:t>
      </w:r>
      <w:r w:rsidR="002111EC" w:rsidRPr="002111EC">
        <w:t xml:space="preserve"> </w:t>
      </w:r>
      <w:r w:rsidR="002111EC" w:rsidRPr="00E850E0">
        <w:t>(Fig. 1).</w:t>
      </w:r>
      <w:r w:rsidR="00E850E0" w:rsidRPr="00E850E0">
        <w:t xml:space="preserve"> – a porous aggregate synthesized by thermal expansion of a mass based on liquid glass and a silica-containing filler (for example, </w:t>
      </w:r>
      <w:r>
        <w:t>broken glass</w:t>
      </w:r>
      <w:r w:rsidR="00E850E0" w:rsidRPr="00E850E0">
        <w:t xml:space="preserve">, </w:t>
      </w:r>
      <w:proofErr w:type="spellStart"/>
      <w:r>
        <w:t>gaize</w:t>
      </w:r>
      <w:proofErr w:type="spellEnd"/>
      <w:r w:rsidR="00E850E0" w:rsidRPr="00E850E0">
        <w:t xml:space="preserve"> rock, oil shale, and others). </w:t>
      </w:r>
    </w:p>
    <w:tbl>
      <w:tblPr>
        <w:tblStyle w:val="a8"/>
        <w:tblW w:w="0" w:type="auto"/>
        <w:jc w:val="center"/>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3229"/>
      </w:tblGrid>
      <w:tr w:rsidR="00613209" w:rsidRPr="00543A25" w:rsidTr="00F54214">
        <w:trPr>
          <w:jc w:val="center"/>
        </w:trPr>
        <w:tc>
          <w:tcPr>
            <w:tcW w:w="3228" w:type="dxa"/>
          </w:tcPr>
          <w:p w:rsidR="00613209" w:rsidRPr="00543A25" w:rsidRDefault="00613209" w:rsidP="00F54214">
            <w:pPr>
              <w:widowControl w:val="0"/>
              <w:tabs>
                <w:tab w:val="left" w:pos="4536"/>
              </w:tabs>
              <w:spacing w:line="240" w:lineRule="auto"/>
              <w:ind w:firstLine="0"/>
              <w:jc w:val="center"/>
            </w:pPr>
            <w:r w:rsidRPr="00543A25">
              <w:rPr>
                <w:noProof/>
                <w:lang w:val="ru-RU" w:eastAsia="ru-RU"/>
              </w:rPr>
              <w:drawing>
                <wp:inline distT="0" distB="0" distL="0" distR="0">
                  <wp:extent cx="1032182" cy="952500"/>
                  <wp:effectExtent l="0" t="0" r="0" b="0"/>
                  <wp:docPr id="1" name="Рисунок 16" descr="C:\Users\Пользователь\Desktop\отчет 2017\грант 2017 от 2015\В ОТЧЕТ\010717 фото\1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Пользователь\Desktop\отчет 2017\грант 2017 от 2015\В ОТЧЕТ\010717 фото\1 029.jpg"/>
                          <pic:cNvPicPr>
                            <a:picLocks noChangeAspect="1" noChangeArrowheads="1"/>
                          </pic:cNvPicPr>
                        </pic:nvPicPr>
                        <pic:blipFill>
                          <a:blip r:embed="rId9" cstate="print"/>
                          <a:srcRect l="4742" t="30417" r="4742" b="22946"/>
                          <a:stretch>
                            <a:fillRect/>
                          </a:stretch>
                        </pic:blipFill>
                        <pic:spPr bwMode="auto">
                          <a:xfrm>
                            <a:off x="0" y="0"/>
                            <a:ext cx="1032182" cy="952500"/>
                          </a:xfrm>
                          <a:prstGeom prst="rect">
                            <a:avLst/>
                          </a:prstGeom>
                          <a:noFill/>
                          <a:ln w="9525">
                            <a:noFill/>
                            <a:miter lim="800000"/>
                            <a:headEnd/>
                            <a:tailEnd/>
                          </a:ln>
                        </pic:spPr>
                      </pic:pic>
                    </a:graphicData>
                  </a:graphic>
                </wp:inline>
              </w:drawing>
            </w:r>
          </w:p>
        </w:tc>
        <w:tc>
          <w:tcPr>
            <w:tcW w:w="3229" w:type="dxa"/>
          </w:tcPr>
          <w:p w:rsidR="00613209" w:rsidRPr="00543A25" w:rsidRDefault="00613209" w:rsidP="00F54214">
            <w:pPr>
              <w:widowControl w:val="0"/>
              <w:tabs>
                <w:tab w:val="left" w:pos="4536"/>
              </w:tabs>
              <w:spacing w:line="240" w:lineRule="auto"/>
              <w:ind w:hanging="16"/>
              <w:jc w:val="center"/>
            </w:pPr>
            <w:r w:rsidRPr="00543A25">
              <w:rPr>
                <w:noProof/>
                <w:lang w:val="ru-RU" w:eastAsia="ru-RU"/>
              </w:rPr>
              <w:drawing>
                <wp:inline distT="0" distB="0" distL="0" distR="0">
                  <wp:extent cx="1000125" cy="957153"/>
                  <wp:effectExtent l="0" t="0" r="0" b="0"/>
                  <wp:docPr id="3" name="Рисунок 15" descr="C:\Users\Пользователь\Desktop\отчет 2017\грант 2017 от 2015\В ОТЧЕТ\для отчета\Научная работа А.Ю.Бабич ПСМ-14\фото пеностекло на конференцию\Серия 3\№43 65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Пользователь\Desktop\отчет 2017\грант 2017 от 2015\В ОТЧЕТ\для отчета\Научная работа А.Ю.Бабич ПСМ-14\фото пеностекло на конференцию\Серия 3\№43 650.800.JPG"/>
                          <pic:cNvPicPr>
                            <a:picLocks noChangeAspect="1" noChangeArrowheads="1"/>
                          </pic:cNvPicPr>
                        </pic:nvPicPr>
                        <pic:blipFill>
                          <a:blip r:embed="rId10" cstate="print"/>
                          <a:srcRect l="34820" t="20380" r="25027" b="23622"/>
                          <a:stretch>
                            <a:fillRect/>
                          </a:stretch>
                        </pic:blipFill>
                        <pic:spPr bwMode="auto">
                          <a:xfrm>
                            <a:off x="0" y="0"/>
                            <a:ext cx="1000125" cy="957153"/>
                          </a:xfrm>
                          <a:prstGeom prst="rect">
                            <a:avLst/>
                          </a:prstGeom>
                          <a:noFill/>
                          <a:ln w="9525">
                            <a:noFill/>
                            <a:miter lim="800000"/>
                            <a:headEnd/>
                            <a:tailEnd/>
                          </a:ln>
                        </pic:spPr>
                      </pic:pic>
                    </a:graphicData>
                  </a:graphic>
                </wp:inline>
              </w:drawing>
            </w:r>
          </w:p>
        </w:tc>
      </w:tr>
      <w:tr w:rsidR="00613209" w:rsidRPr="00543A25" w:rsidTr="00F54214">
        <w:trPr>
          <w:jc w:val="center"/>
        </w:trPr>
        <w:tc>
          <w:tcPr>
            <w:tcW w:w="3228" w:type="dxa"/>
          </w:tcPr>
          <w:p w:rsidR="00613209" w:rsidRPr="00600ACE" w:rsidRDefault="00271511" w:rsidP="00613209">
            <w:pPr>
              <w:widowControl w:val="0"/>
              <w:tabs>
                <w:tab w:val="left" w:pos="4536"/>
              </w:tabs>
              <w:spacing w:line="240" w:lineRule="auto"/>
              <w:jc w:val="center"/>
              <w:rPr>
                <w:rFonts w:ascii="Arial" w:hAnsi="Arial" w:cs="Arial"/>
                <w:sz w:val="16"/>
                <w:szCs w:val="16"/>
              </w:rPr>
            </w:pPr>
            <w:r>
              <w:rPr>
                <w:rFonts w:ascii="Arial" w:hAnsi="Arial" w:cs="Arial"/>
                <w:sz w:val="16"/>
                <w:szCs w:val="16"/>
              </w:rPr>
              <w:t>appearance</w:t>
            </w:r>
          </w:p>
        </w:tc>
        <w:tc>
          <w:tcPr>
            <w:tcW w:w="3229" w:type="dxa"/>
          </w:tcPr>
          <w:p w:rsidR="00613209" w:rsidRPr="00600ACE" w:rsidRDefault="00271511" w:rsidP="00613209">
            <w:pPr>
              <w:widowControl w:val="0"/>
              <w:tabs>
                <w:tab w:val="left" w:pos="4536"/>
              </w:tabs>
              <w:spacing w:line="240" w:lineRule="auto"/>
              <w:jc w:val="center"/>
              <w:rPr>
                <w:rFonts w:ascii="Arial" w:hAnsi="Arial" w:cs="Arial"/>
                <w:sz w:val="16"/>
                <w:szCs w:val="16"/>
              </w:rPr>
            </w:pPr>
            <w:r>
              <w:rPr>
                <w:rFonts w:ascii="Arial" w:hAnsi="Arial" w:cs="Arial"/>
                <w:sz w:val="16"/>
                <w:szCs w:val="16"/>
              </w:rPr>
              <w:t>structure</w:t>
            </w:r>
          </w:p>
        </w:tc>
      </w:tr>
    </w:tbl>
    <w:p w:rsidR="00613209" w:rsidRPr="00DB6899" w:rsidRDefault="00DB6899" w:rsidP="00DF0E86">
      <w:pPr>
        <w:widowControl w:val="0"/>
        <w:tabs>
          <w:tab w:val="left" w:pos="4440"/>
        </w:tabs>
        <w:spacing w:before="120" w:after="240" w:line="220" w:lineRule="atLeast"/>
        <w:jc w:val="center"/>
        <w:rPr>
          <w:i/>
          <w:color w:val="1D1B11" w:themeColor="background2" w:themeShade="1A"/>
          <w:sz w:val="18"/>
          <w:szCs w:val="18"/>
        </w:rPr>
      </w:pPr>
      <w:proofErr w:type="gramStart"/>
      <w:r>
        <w:rPr>
          <w:b/>
          <w:color w:val="1D1B11" w:themeColor="background2" w:themeShade="1A"/>
          <w:sz w:val="18"/>
          <w:szCs w:val="18"/>
        </w:rPr>
        <w:t>Fig</w:t>
      </w:r>
      <w:r w:rsidR="00F54214" w:rsidRPr="00DB6899">
        <w:rPr>
          <w:b/>
          <w:color w:val="1D1B11" w:themeColor="background2" w:themeShade="1A"/>
          <w:sz w:val="18"/>
          <w:szCs w:val="18"/>
        </w:rPr>
        <w:t xml:space="preserve">. </w:t>
      </w:r>
      <w:r w:rsidR="00613209" w:rsidRPr="00DB6899">
        <w:rPr>
          <w:b/>
          <w:color w:val="1D1B11" w:themeColor="background2" w:themeShade="1A"/>
          <w:sz w:val="18"/>
          <w:szCs w:val="18"/>
        </w:rPr>
        <w:t>1</w:t>
      </w:r>
      <w:r w:rsidR="00F54214" w:rsidRPr="00DB6899">
        <w:rPr>
          <w:b/>
          <w:color w:val="1D1B11" w:themeColor="background2" w:themeShade="1A"/>
          <w:sz w:val="18"/>
          <w:szCs w:val="18"/>
        </w:rPr>
        <w:t>.</w:t>
      </w:r>
      <w:proofErr w:type="gramEnd"/>
      <w:r w:rsidR="00613209" w:rsidRPr="00DB6899">
        <w:rPr>
          <w:color w:val="1D1B11" w:themeColor="background2" w:themeShade="1A"/>
          <w:sz w:val="18"/>
          <w:szCs w:val="18"/>
        </w:rPr>
        <w:t xml:space="preserve"> </w:t>
      </w:r>
      <w:r>
        <w:rPr>
          <w:color w:val="1D1B11" w:themeColor="background2" w:themeShade="1A"/>
          <w:sz w:val="18"/>
          <w:szCs w:val="18"/>
        </w:rPr>
        <w:t>Swelling</w:t>
      </w:r>
      <w:r w:rsidRPr="00DB6899">
        <w:rPr>
          <w:color w:val="1D1B11" w:themeColor="background2" w:themeShade="1A"/>
          <w:sz w:val="18"/>
          <w:szCs w:val="18"/>
        </w:rPr>
        <w:t xml:space="preserve"> granules based on liquid glass.</w:t>
      </w:r>
    </w:p>
    <w:p w:rsidR="002111EC" w:rsidRPr="002111EC" w:rsidRDefault="002111EC" w:rsidP="002111EC">
      <w:pPr>
        <w:spacing w:line="240" w:lineRule="auto"/>
        <w:ind w:firstLine="0"/>
      </w:pPr>
      <w:r w:rsidRPr="00E850E0">
        <w:lastRenderedPageBreak/>
        <w:t>Expanded granules of 5 – 10 mm fraction with a bulk density of 200 kg/m</w:t>
      </w:r>
      <w:r w:rsidRPr="00DB6899">
        <w:rPr>
          <w:vertAlign w:val="superscript"/>
        </w:rPr>
        <w:t>3</w:t>
      </w:r>
      <w:r w:rsidRPr="00E850E0">
        <w:t xml:space="preserve"> were used </w:t>
      </w:r>
    </w:p>
    <w:p w:rsidR="00613209" w:rsidRPr="00DB6899" w:rsidRDefault="00DB6899" w:rsidP="002111EC">
      <w:pPr>
        <w:spacing w:after="120" w:line="240" w:lineRule="auto"/>
        <w:ind w:firstLine="0"/>
      </w:pPr>
      <w:r w:rsidRPr="00DB6899">
        <w:t>Granulated magnesia aggregate</w:t>
      </w:r>
      <w:r>
        <w:t xml:space="preserve"> </w:t>
      </w:r>
      <w:r w:rsidRPr="00DB6899">
        <w:t>–</w:t>
      </w:r>
      <w:r>
        <w:t xml:space="preserve"> </w:t>
      </w:r>
      <w:r w:rsidRPr="00DB6899">
        <w:t>particles of 5 – 10 mm in siz</w:t>
      </w:r>
      <w:r>
        <w:t xml:space="preserve">e with a bulk density </w:t>
      </w:r>
      <w:proofErr w:type="gramStart"/>
      <w:r>
        <w:t>of 500 kg/</w:t>
      </w:r>
      <w:r w:rsidRPr="00DB6899">
        <w:t>m</w:t>
      </w:r>
      <w:r w:rsidRPr="00DB6899">
        <w:rPr>
          <w:vertAlign w:val="superscript"/>
        </w:rPr>
        <w:t>3</w:t>
      </w:r>
      <w:r w:rsidRPr="00DB6899">
        <w:t xml:space="preserve"> (Fig. 2)</w:t>
      </w:r>
      <w:proofErr w:type="gramEnd"/>
      <w:r w:rsidRPr="00DB6899">
        <w:t>.</w:t>
      </w:r>
      <w:r w:rsidR="00613209" w:rsidRPr="00DB6899">
        <w:t xml:space="preserve"> </w:t>
      </w:r>
    </w:p>
    <w:tbl>
      <w:tblPr>
        <w:tblStyle w:val="a8"/>
        <w:tblW w:w="0" w:type="auto"/>
        <w:jc w:val="center"/>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3284"/>
      </w:tblGrid>
      <w:tr w:rsidR="00613209" w:rsidRPr="00613209" w:rsidTr="00F54214">
        <w:trPr>
          <w:jc w:val="center"/>
        </w:trPr>
        <w:tc>
          <w:tcPr>
            <w:tcW w:w="4252" w:type="dxa"/>
          </w:tcPr>
          <w:p w:rsidR="00613209" w:rsidRPr="00613209" w:rsidRDefault="00613209" w:rsidP="00613209">
            <w:pPr>
              <w:widowControl w:val="0"/>
              <w:tabs>
                <w:tab w:val="left" w:pos="4536"/>
              </w:tabs>
              <w:spacing w:line="240" w:lineRule="auto"/>
              <w:jc w:val="center"/>
            </w:pPr>
            <w:r w:rsidRPr="00613209">
              <w:rPr>
                <w:noProof/>
                <w:lang w:val="ru-RU" w:eastAsia="ru-RU"/>
              </w:rPr>
              <w:drawing>
                <wp:inline distT="0" distB="0" distL="0" distR="0">
                  <wp:extent cx="1416293" cy="1260000"/>
                  <wp:effectExtent l="19050" t="0" r="0" b="0"/>
                  <wp:docPr id="11"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З21 крупные - 3.06.20 (2).jpg"/>
                          <pic:cNvPicPr/>
                        </pic:nvPicPr>
                        <pic:blipFill rotWithShape="1">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l="10693" t="7665" r="6110" b="29381"/>
                          <a:stretch/>
                        </pic:blipFill>
                        <pic:spPr bwMode="auto">
                          <a:xfrm>
                            <a:off x="0" y="0"/>
                            <a:ext cx="1416293"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7" w:type="dxa"/>
          </w:tcPr>
          <w:p w:rsidR="00613209" w:rsidRPr="00613209" w:rsidRDefault="00613209" w:rsidP="00613209">
            <w:pPr>
              <w:widowControl w:val="0"/>
              <w:tabs>
                <w:tab w:val="left" w:pos="4536"/>
              </w:tabs>
              <w:spacing w:line="240" w:lineRule="auto"/>
              <w:jc w:val="center"/>
            </w:pPr>
            <w:r w:rsidRPr="00613209">
              <w:rPr>
                <w:noProof/>
                <w:lang w:val="ru-RU" w:eastAsia="ru-RU"/>
              </w:rPr>
              <w:drawing>
                <wp:inline distT="0" distB="0" distL="0" distR="0">
                  <wp:extent cx="1416292" cy="1260000"/>
                  <wp:effectExtent l="1905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G_20200627_184310.jpg"/>
                          <pic:cNvPicPr/>
                        </pic:nvPicPr>
                        <pic:blipFill rotWithShape="1">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l="53602" t="54423" r="11285" b="9330"/>
                          <a:stretch/>
                        </pic:blipFill>
                        <pic:spPr bwMode="auto">
                          <a:xfrm>
                            <a:off x="0" y="0"/>
                            <a:ext cx="1416292"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613209" w:rsidRPr="00613209" w:rsidTr="00F54214">
        <w:trPr>
          <w:jc w:val="center"/>
        </w:trPr>
        <w:tc>
          <w:tcPr>
            <w:tcW w:w="4252" w:type="dxa"/>
          </w:tcPr>
          <w:p w:rsidR="00613209" w:rsidRPr="00600ACE" w:rsidRDefault="00271511" w:rsidP="00613209">
            <w:pPr>
              <w:widowControl w:val="0"/>
              <w:tabs>
                <w:tab w:val="left" w:pos="4536"/>
              </w:tabs>
              <w:spacing w:line="240" w:lineRule="auto"/>
              <w:jc w:val="center"/>
              <w:rPr>
                <w:rFonts w:ascii="Arial" w:hAnsi="Arial" w:cs="Arial"/>
                <w:sz w:val="16"/>
                <w:szCs w:val="16"/>
              </w:rPr>
            </w:pPr>
            <w:r>
              <w:rPr>
                <w:rFonts w:ascii="Arial" w:hAnsi="Arial" w:cs="Arial"/>
                <w:sz w:val="16"/>
                <w:szCs w:val="16"/>
              </w:rPr>
              <w:t>appearance</w:t>
            </w:r>
          </w:p>
        </w:tc>
        <w:tc>
          <w:tcPr>
            <w:tcW w:w="4537" w:type="dxa"/>
          </w:tcPr>
          <w:p w:rsidR="00613209" w:rsidRPr="00600ACE" w:rsidRDefault="00271511" w:rsidP="00613209">
            <w:pPr>
              <w:widowControl w:val="0"/>
              <w:tabs>
                <w:tab w:val="left" w:pos="4536"/>
              </w:tabs>
              <w:spacing w:line="240" w:lineRule="auto"/>
              <w:jc w:val="center"/>
              <w:rPr>
                <w:rFonts w:ascii="Arial" w:hAnsi="Arial" w:cs="Arial"/>
                <w:sz w:val="16"/>
                <w:szCs w:val="16"/>
              </w:rPr>
            </w:pPr>
            <w:r>
              <w:rPr>
                <w:rFonts w:ascii="Arial" w:hAnsi="Arial" w:cs="Arial"/>
                <w:sz w:val="16"/>
                <w:szCs w:val="16"/>
              </w:rPr>
              <w:t>structure</w:t>
            </w:r>
          </w:p>
        </w:tc>
      </w:tr>
    </w:tbl>
    <w:p w:rsidR="00613209" w:rsidRPr="00A32E5D" w:rsidRDefault="00DB6899" w:rsidP="00DF0E86">
      <w:pPr>
        <w:widowControl w:val="0"/>
        <w:tabs>
          <w:tab w:val="left" w:pos="4440"/>
        </w:tabs>
        <w:spacing w:before="120" w:after="240" w:line="220" w:lineRule="atLeast"/>
        <w:ind w:firstLine="0"/>
        <w:jc w:val="center"/>
        <w:rPr>
          <w:i/>
          <w:color w:val="1D1B11" w:themeColor="background2" w:themeShade="1A"/>
          <w:sz w:val="18"/>
          <w:szCs w:val="18"/>
          <w:lang w:val="ru-RU"/>
        </w:rPr>
      </w:pPr>
      <w:proofErr w:type="gramStart"/>
      <w:r>
        <w:rPr>
          <w:b/>
          <w:color w:val="1D1B11" w:themeColor="background2" w:themeShade="1A"/>
          <w:sz w:val="18"/>
          <w:szCs w:val="18"/>
        </w:rPr>
        <w:t>Fig</w:t>
      </w:r>
      <w:r w:rsidR="00F54214" w:rsidRPr="00F54214">
        <w:rPr>
          <w:b/>
          <w:color w:val="1D1B11" w:themeColor="background2" w:themeShade="1A"/>
          <w:sz w:val="18"/>
          <w:szCs w:val="18"/>
          <w:lang w:val="ru-RU"/>
        </w:rPr>
        <w:t>.</w:t>
      </w:r>
      <w:r w:rsidR="00613209" w:rsidRPr="00271511">
        <w:rPr>
          <w:b/>
          <w:color w:val="1D1B11" w:themeColor="background2" w:themeShade="1A"/>
          <w:sz w:val="18"/>
          <w:szCs w:val="18"/>
          <w:lang w:val="ru-RU"/>
        </w:rPr>
        <w:t xml:space="preserve"> 2</w:t>
      </w:r>
      <w:r w:rsidR="00F54214" w:rsidRPr="00F54214">
        <w:rPr>
          <w:color w:val="1D1B11" w:themeColor="background2" w:themeShade="1A"/>
          <w:sz w:val="18"/>
          <w:szCs w:val="18"/>
          <w:lang w:val="ru-RU"/>
        </w:rPr>
        <w:t>.</w:t>
      </w:r>
      <w:proofErr w:type="gramEnd"/>
      <w:r w:rsidR="00613209" w:rsidRPr="00271511">
        <w:rPr>
          <w:color w:val="1D1B11" w:themeColor="background2" w:themeShade="1A"/>
          <w:sz w:val="18"/>
          <w:szCs w:val="18"/>
          <w:lang w:val="ru-RU"/>
        </w:rPr>
        <w:t xml:space="preserve"> </w:t>
      </w:r>
      <w:proofErr w:type="spellStart"/>
      <w:r w:rsidRPr="00DB6899">
        <w:rPr>
          <w:sz w:val="18"/>
          <w:szCs w:val="18"/>
          <w:lang w:val="ru-RU"/>
        </w:rPr>
        <w:t>Granulated</w:t>
      </w:r>
      <w:proofErr w:type="spellEnd"/>
      <w:r w:rsidRPr="00DB6899">
        <w:rPr>
          <w:sz w:val="18"/>
          <w:szCs w:val="18"/>
          <w:lang w:val="ru-RU"/>
        </w:rPr>
        <w:t xml:space="preserve"> </w:t>
      </w:r>
      <w:proofErr w:type="spellStart"/>
      <w:r w:rsidRPr="00DB6899">
        <w:rPr>
          <w:sz w:val="18"/>
          <w:szCs w:val="18"/>
          <w:lang w:val="ru-RU"/>
        </w:rPr>
        <w:t>magnesia</w:t>
      </w:r>
      <w:proofErr w:type="spellEnd"/>
      <w:r w:rsidRPr="00DB6899">
        <w:rPr>
          <w:sz w:val="18"/>
          <w:szCs w:val="18"/>
          <w:lang w:val="ru-RU"/>
        </w:rPr>
        <w:t xml:space="preserve"> </w:t>
      </w:r>
      <w:proofErr w:type="spellStart"/>
      <w:r w:rsidRPr="00DB6899">
        <w:rPr>
          <w:sz w:val="18"/>
          <w:szCs w:val="18"/>
          <w:lang w:val="ru-RU"/>
        </w:rPr>
        <w:t>aggregate</w:t>
      </w:r>
      <w:proofErr w:type="spellEnd"/>
      <w:r w:rsidRPr="00DB6899">
        <w:rPr>
          <w:sz w:val="18"/>
          <w:szCs w:val="18"/>
          <w:lang w:val="ru-RU"/>
        </w:rPr>
        <w:t>.</w:t>
      </w:r>
    </w:p>
    <w:p w:rsidR="00613209" w:rsidRPr="00DB6899" w:rsidRDefault="00DB6899" w:rsidP="00600ACE">
      <w:pPr>
        <w:spacing w:line="240" w:lineRule="auto"/>
        <w:ind w:firstLine="0"/>
      </w:pPr>
      <w:r w:rsidRPr="00DB6899">
        <w:t>The aggregate is obtained from a molding mass containing a magnesia binder, wood particles and a pore-forming agent</w:t>
      </w:r>
      <w:r>
        <w:t>.</w:t>
      </w:r>
      <w:r w:rsidR="00613209" w:rsidRPr="00DB6899">
        <w:t xml:space="preserve"> </w:t>
      </w:r>
    </w:p>
    <w:p w:rsidR="00F54214" w:rsidRPr="00DB6899" w:rsidRDefault="00F54214" w:rsidP="00F54214">
      <w:pPr>
        <w:spacing w:before="360" w:after="240" w:line="300" w:lineRule="atLeast"/>
        <w:ind w:firstLine="0"/>
        <w:rPr>
          <w:b/>
          <w:sz w:val="24"/>
          <w:szCs w:val="24"/>
        </w:rPr>
      </w:pPr>
      <w:r w:rsidRPr="00DB6899">
        <w:rPr>
          <w:b/>
          <w:bCs/>
          <w:sz w:val="24"/>
          <w:szCs w:val="24"/>
        </w:rPr>
        <w:t xml:space="preserve">3 </w:t>
      </w:r>
      <w:r w:rsidRPr="00211D56">
        <w:rPr>
          <w:b/>
          <w:bCs/>
          <w:sz w:val="24"/>
          <w:szCs w:val="24"/>
        </w:rPr>
        <w:t>Results</w:t>
      </w:r>
      <w:r w:rsidRPr="00DB6899">
        <w:rPr>
          <w:b/>
          <w:bCs/>
          <w:sz w:val="24"/>
          <w:szCs w:val="24"/>
        </w:rPr>
        <w:t xml:space="preserve"> </w:t>
      </w:r>
      <w:r w:rsidRPr="00211D56">
        <w:rPr>
          <w:b/>
          <w:bCs/>
          <w:sz w:val="24"/>
          <w:szCs w:val="24"/>
        </w:rPr>
        <w:t>and</w:t>
      </w:r>
      <w:r w:rsidRPr="00DB6899">
        <w:rPr>
          <w:b/>
          <w:bCs/>
          <w:sz w:val="24"/>
          <w:szCs w:val="24"/>
        </w:rPr>
        <w:t xml:space="preserve"> </w:t>
      </w:r>
      <w:r w:rsidRPr="00211D56">
        <w:rPr>
          <w:b/>
          <w:bCs/>
          <w:sz w:val="24"/>
          <w:szCs w:val="24"/>
        </w:rPr>
        <w:t>Discussion</w:t>
      </w:r>
    </w:p>
    <w:p w:rsidR="00613209" w:rsidRPr="002111EC" w:rsidRDefault="00DB6899" w:rsidP="00600ACE">
      <w:pPr>
        <w:widowControl w:val="0"/>
        <w:kinsoku w:val="0"/>
        <w:spacing w:line="240" w:lineRule="auto"/>
        <w:ind w:firstLine="0"/>
      </w:pPr>
      <w:r w:rsidRPr="00DB6899">
        <w:t>The in</w:t>
      </w:r>
      <w:r>
        <w:t>sertion</w:t>
      </w:r>
      <w:r w:rsidRPr="00DB6899">
        <w:t xml:space="preserve"> of an ash microsphere into the magnesia mixture is accompanied by a decrease in the density of the composite material (table 1). The strength of the compositions depends on the fraction of the ash microsphere and decreases as the structure is saturated with hollow particles, which is obvious for the systems under study. The properties of the compositions are largely determined by the composition of the mixed binder. The content of the ash microsphere should be limited to 20%, </w:t>
      </w:r>
      <w:r>
        <w:t>as</w:t>
      </w:r>
      <w:r w:rsidRPr="00DB6899">
        <w:t xml:space="preserve"> an increase in the proportion of porous particles causes a shortage of binder for binding the microsphere.</w:t>
      </w:r>
    </w:p>
    <w:p w:rsidR="00613209" w:rsidRPr="00DB6899" w:rsidRDefault="00DB6899" w:rsidP="00DF0E86">
      <w:pPr>
        <w:tabs>
          <w:tab w:val="left" w:pos="3300"/>
        </w:tabs>
        <w:spacing w:before="240" w:after="120" w:line="220" w:lineRule="atLeast"/>
        <w:ind w:firstLine="0"/>
        <w:jc w:val="center"/>
        <w:rPr>
          <w:sz w:val="18"/>
          <w:szCs w:val="18"/>
        </w:rPr>
      </w:pPr>
      <w:proofErr w:type="gramStart"/>
      <w:r>
        <w:rPr>
          <w:b/>
          <w:sz w:val="18"/>
          <w:szCs w:val="18"/>
        </w:rPr>
        <w:t>Table</w:t>
      </w:r>
      <w:r w:rsidR="00613209" w:rsidRPr="00DB6899">
        <w:rPr>
          <w:b/>
          <w:sz w:val="18"/>
          <w:szCs w:val="18"/>
        </w:rPr>
        <w:t xml:space="preserve"> 1</w:t>
      </w:r>
      <w:r w:rsidR="00F54214" w:rsidRPr="00DB6899">
        <w:rPr>
          <w:sz w:val="18"/>
          <w:szCs w:val="18"/>
        </w:rPr>
        <w:t>.</w:t>
      </w:r>
      <w:proofErr w:type="gramEnd"/>
      <w:r w:rsidR="00613209" w:rsidRPr="00DB6899">
        <w:rPr>
          <w:color w:val="1D1B11" w:themeColor="background2" w:themeShade="1A"/>
          <w:sz w:val="18"/>
          <w:szCs w:val="18"/>
        </w:rPr>
        <w:t xml:space="preserve"> </w:t>
      </w:r>
      <w:r w:rsidRPr="00DB6899">
        <w:rPr>
          <w:color w:val="1D1B11" w:themeColor="background2" w:themeShade="1A"/>
          <w:sz w:val="18"/>
          <w:szCs w:val="18"/>
        </w:rPr>
        <w:t>Influence of microspheres on the properties of magnesia compositions.</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411"/>
        <w:gridCol w:w="1275"/>
        <w:gridCol w:w="1843"/>
      </w:tblGrid>
      <w:tr w:rsidR="00613209" w:rsidRPr="00DB6899" w:rsidTr="00DF0E86">
        <w:trPr>
          <w:trHeight w:val="20"/>
          <w:jc w:val="center"/>
        </w:trPr>
        <w:tc>
          <w:tcPr>
            <w:tcW w:w="1991" w:type="dxa"/>
            <w:vAlign w:val="center"/>
          </w:tcPr>
          <w:p w:rsidR="00613209" w:rsidRPr="00DB6899" w:rsidRDefault="00DB6899" w:rsidP="00600ACE">
            <w:pPr>
              <w:widowControl w:val="0"/>
              <w:spacing w:line="240" w:lineRule="auto"/>
              <w:ind w:right="-108" w:firstLine="34"/>
              <w:jc w:val="center"/>
              <w:rPr>
                <w:sz w:val="17"/>
                <w:szCs w:val="17"/>
              </w:rPr>
            </w:pPr>
            <w:r w:rsidRPr="00DB6899">
              <w:rPr>
                <w:sz w:val="17"/>
                <w:szCs w:val="17"/>
              </w:rPr>
              <w:t>Content of technogenic filler</w:t>
            </w:r>
            <w:r w:rsidR="007412F4" w:rsidRPr="007412F4">
              <w:rPr>
                <w:sz w:val="17"/>
                <w:szCs w:val="17"/>
              </w:rPr>
              <w:t xml:space="preserve">           </w:t>
            </w:r>
            <w:r w:rsidRPr="00DB6899">
              <w:rPr>
                <w:sz w:val="17"/>
                <w:szCs w:val="17"/>
              </w:rPr>
              <w:t xml:space="preserve"> in the binder, %</w:t>
            </w:r>
          </w:p>
        </w:tc>
        <w:tc>
          <w:tcPr>
            <w:tcW w:w="1411" w:type="dxa"/>
            <w:vAlign w:val="center"/>
          </w:tcPr>
          <w:p w:rsidR="00613209" w:rsidRPr="00600ACE" w:rsidRDefault="00DB6899" w:rsidP="00613209">
            <w:pPr>
              <w:widowControl w:val="0"/>
              <w:spacing w:line="240" w:lineRule="auto"/>
              <w:ind w:firstLine="33"/>
              <w:jc w:val="center"/>
              <w:rPr>
                <w:sz w:val="17"/>
                <w:szCs w:val="17"/>
              </w:rPr>
            </w:pPr>
            <w:r>
              <w:rPr>
                <w:sz w:val="17"/>
                <w:szCs w:val="17"/>
              </w:rPr>
              <w:t>Content of the microsphere</w:t>
            </w:r>
            <w:r w:rsidR="00613209" w:rsidRPr="00600ACE">
              <w:rPr>
                <w:sz w:val="17"/>
                <w:szCs w:val="17"/>
              </w:rPr>
              <w:t>,</w:t>
            </w:r>
          </w:p>
          <w:p w:rsidR="00613209" w:rsidRPr="00600ACE" w:rsidRDefault="00613209" w:rsidP="00613209">
            <w:pPr>
              <w:widowControl w:val="0"/>
              <w:spacing w:line="240" w:lineRule="auto"/>
              <w:ind w:firstLine="33"/>
              <w:jc w:val="center"/>
              <w:rPr>
                <w:sz w:val="17"/>
                <w:szCs w:val="17"/>
              </w:rPr>
            </w:pPr>
            <w:r w:rsidRPr="00600ACE">
              <w:rPr>
                <w:sz w:val="17"/>
                <w:szCs w:val="17"/>
              </w:rPr>
              <w:t>%</w:t>
            </w:r>
          </w:p>
        </w:tc>
        <w:tc>
          <w:tcPr>
            <w:tcW w:w="1275" w:type="dxa"/>
            <w:vAlign w:val="center"/>
          </w:tcPr>
          <w:p w:rsidR="00613209" w:rsidRPr="00600ACE" w:rsidRDefault="00DB6899" w:rsidP="00600ACE">
            <w:pPr>
              <w:widowControl w:val="0"/>
              <w:spacing w:line="240" w:lineRule="auto"/>
              <w:ind w:firstLine="0"/>
              <w:jc w:val="center"/>
              <w:rPr>
                <w:sz w:val="17"/>
                <w:szCs w:val="17"/>
              </w:rPr>
            </w:pPr>
            <w:r>
              <w:rPr>
                <w:sz w:val="17"/>
                <w:szCs w:val="17"/>
              </w:rPr>
              <w:t>Average density</w:t>
            </w:r>
            <w:r w:rsidR="00613209" w:rsidRPr="00600ACE">
              <w:rPr>
                <w:sz w:val="17"/>
                <w:szCs w:val="17"/>
              </w:rPr>
              <w:t>,</w:t>
            </w:r>
          </w:p>
          <w:p w:rsidR="00613209" w:rsidRPr="00600ACE" w:rsidRDefault="00DB6899" w:rsidP="00DB6899">
            <w:pPr>
              <w:widowControl w:val="0"/>
              <w:spacing w:line="240" w:lineRule="auto"/>
              <w:ind w:firstLine="0"/>
              <w:jc w:val="center"/>
              <w:rPr>
                <w:sz w:val="17"/>
                <w:szCs w:val="17"/>
              </w:rPr>
            </w:pPr>
            <w:r>
              <w:rPr>
                <w:sz w:val="17"/>
                <w:szCs w:val="17"/>
              </w:rPr>
              <w:t>kg</w:t>
            </w:r>
            <w:r w:rsidR="00613209" w:rsidRPr="00600ACE">
              <w:rPr>
                <w:sz w:val="17"/>
                <w:szCs w:val="17"/>
              </w:rPr>
              <w:t>/</w:t>
            </w:r>
            <w:r>
              <w:rPr>
                <w:sz w:val="17"/>
                <w:szCs w:val="17"/>
              </w:rPr>
              <w:t>m</w:t>
            </w:r>
            <w:r w:rsidR="00613209" w:rsidRPr="00600ACE">
              <w:rPr>
                <w:sz w:val="17"/>
                <w:szCs w:val="17"/>
              </w:rPr>
              <w:t>³</w:t>
            </w:r>
          </w:p>
        </w:tc>
        <w:tc>
          <w:tcPr>
            <w:tcW w:w="1843" w:type="dxa"/>
            <w:vAlign w:val="center"/>
          </w:tcPr>
          <w:p w:rsidR="00613209" w:rsidRPr="00DB6899" w:rsidRDefault="00DB6899" w:rsidP="00600ACE">
            <w:pPr>
              <w:widowControl w:val="0"/>
              <w:spacing w:line="240" w:lineRule="auto"/>
              <w:ind w:firstLine="0"/>
              <w:jc w:val="center"/>
              <w:rPr>
                <w:sz w:val="17"/>
                <w:szCs w:val="17"/>
              </w:rPr>
            </w:pPr>
            <w:r w:rsidRPr="00DB6899">
              <w:rPr>
                <w:sz w:val="17"/>
                <w:szCs w:val="17"/>
              </w:rPr>
              <w:t>Tensile strength at compression, MPa</w:t>
            </w:r>
          </w:p>
        </w:tc>
      </w:tr>
      <w:tr w:rsidR="00613209" w:rsidRPr="00543A25" w:rsidTr="00DF0E86">
        <w:trPr>
          <w:trHeight w:val="20"/>
          <w:jc w:val="center"/>
        </w:trPr>
        <w:tc>
          <w:tcPr>
            <w:tcW w:w="1991" w:type="dxa"/>
          </w:tcPr>
          <w:p w:rsidR="00613209" w:rsidRPr="00600ACE" w:rsidRDefault="00613209" w:rsidP="00613209">
            <w:pPr>
              <w:widowControl w:val="0"/>
              <w:spacing w:line="240" w:lineRule="auto"/>
              <w:jc w:val="center"/>
              <w:rPr>
                <w:sz w:val="17"/>
                <w:szCs w:val="17"/>
              </w:rPr>
            </w:pPr>
            <w:r w:rsidRPr="00600ACE">
              <w:rPr>
                <w:sz w:val="17"/>
                <w:szCs w:val="17"/>
              </w:rPr>
              <w:t>0</w:t>
            </w:r>
          </w:p>
        </w:tc>
        <w:tc>
          <w:tcPr>
            <w:tcW w:w="1411" w:type="dxa"/>
          </w:tcPr>
          <w:p w:rsidR="00613209" w:rsidRPr="00600ACE" w:rsidRDefault="00613209" w:rsidP="00613209">
            <w:pPr>
              <w:widowControl w:val="0"/>
              <w:spacing w:line="240" w:lineRule="auto"/>
              <w:ind w:firstLine="33"/>
              <w:jc w:val="center"/>
              <w:rPr>
                <w:sz w:val="17"/>
                <w:szCs w:val="17"/>
              </w:rPr>
            </w:pPr>
            <w:r w:rsidRPr="00600ACE">
              <w:rPr>
                <w:sz w:val="17"/>
                <w:szCs w:val="17"/>
              </w:rPr>
              <w:t>0</w:t>
            </w:r>
          </w:p>
        </w:tc>
        <w:tc>
          <w:tcPr>
            <w:tcW w:w="1275" w:type="dxa"/>
          </w:tcPr>
          <w:p w:rsidR="00613209" w:rsidRPr="00600ACE" w:rsidRDefault="00613209" w:rsidP="00613209">
            <w:pPr>
              <w:widowControl w:val="0"/>
              <w:spacing w:line="240" w:lineRule="auto"/>
              <w:jc w:val="center"/>
              <w:rPr>
                <w:sz w:val="17"/>
                <w:szCs w:val="17"/>
              </w:rPr>
            </w:pPr>
            <w:r w:rsidRPr="00600ACE">
              <w:rPr>
                <w:sz w:val="17"/>
                <w:szCs w:val="17"/>
              </w:rPr>
              <w:t>1879</w:t>
            </w:r>
          </w:p>
        </w:tc>
        <w:tc>
          <w:tcPr>
            <w:tcW w:w="1843" w:type="dxa"/>
          </w:tcPr>
          <w:p w:rsidR="00613209" w:rsidRPr="00600ACE" w:rsidRDefault="00613209" w:rsidP="00613209">
            <w:pPr>
              <w:widowControl w:val="0"/>
              <w:spacing w:line="240" w:lineRule="auto"/>
              <w:jc w:val="center"/>
              <w:rPr>
                <w:sz w:val="17"/>
                <w:szCs w:val="17"/>
              </w:rPr>
            </w:pPr>
            <w:r w:rsidRPr="00600ACE">
              <w:rPr>
                <w:sz w:val="17"/>
                <w:szCs w:val="17"/>
              </w:rPr>
              <w:t>67</w:t>
            </w:r>
          </w:p>
        </w:tc>
      </w:tr>
      <w:tr w:rsidR="00613209" w:rsidRPr="00543A25" w:rsidTr="00DF0E86">
        <w:trPr>
          <w:trHeight w:val="20"/>
          <w:jc w:val="center"/>
        </w:trPr>
        <w:tc>
          <w:tcPr>
            <w:tcW w:w="1991" w:type="dxa"/>
          </w:tcPr>
          <w:p w:rsidR="00613209" w:rsidRPr="00600ACE" w:rsidRDefault="00613209" w:rsidP="00613209">
            <w:pPr>
              <w:widowControl w:val="0"/>
              <w:spacing w:line="240" w:lineRule="auto"/>
              <w:jc w:val="center"/>
              <w:rPr>
                <w:sz w:val="17"/>
                <w:szCs w:val="17"/>
              </w:rPr>
            </w:pPr>
            <w:r w:rsidRPr="00600ACE">
              <w:rPr>
                <w:sz w:val="17"/>
                <w:szCs w:val="17"/>
              </w:rPr>
              <w:t>0</w:t>
            </w:r>
          </w:p>
        </w:tc>
        <w:tc>
          <w:tcPr>
            <w:tcW w:w="1411" w:type="dxa"/>
          </w:tcPr>
          <w:p w:rsidR="00613209" w:rsidRPr="00600ACE" w:rsidRDefault="00613209" w:rsidP="00613209">
            <w:pPr>
              <w:widowControl w:val="0"/>
              <w:spacing w:line="240" w:lineRule="auto"/>
              <w:ind w:firstLine="33"/>
              <w:jc w:val="center"/>
              <w:rPr>
                <w:sz w:val="17"/>
                <w:szCs w:val="17"/>
              </w:rPr>
            </w:pPr>
            <w:r w:rsidRPr="00600ACE">
              <w:rPr>
                <w:sz w:val="17"/>
                <w:szCs w:val="17"/>
              </w:rPr>
              <w:t>5</w:t>
            </w:r>
          </w:p>
        </w:tc>
        <w:tc>
          <w:tcPr>
            <w:tcW w:w="1275" w:type="dxa"/>
          </w:tcPr>
          <w:p w:rsidR="00613209" w:rsidRPr="00600ACE" w:rsidRDefault="00613209" w:rsidP="00613209">
            <w:pPr>
              <w:widowControl w:val="0"/>
              <w:spacing w:line="240" w:lineRule="auto"/>
              <w:jc w:val="center"/>
              <w:rPr>
                <w:sz w:val="17"/>
                <w:szCs w:val="17"/>
              </w:rPr>
            </w:pPr>
            <w:r w:rsidRPr="00600ACE">
              <w:rPr>
                <w:sz w:val="17"/>
                <w:szCs w:val="17"/>
              </w:rPr>
              <w:t>1750</w:t>
            </w:r>
          </w:p>
        </w:tc>
        <w:tc>
          <w:tcPr>
            <w:tcW w:w="1843" w:type="dxa"/>
          </w:tcPr>
          <w:p w:rsidR="00613209" w:rsidRPr="00600ACE" w:rsidRDefault="00613209" w:rsidP="00613209">
            <w:pPr>
              <w:widowControl w:val="0"/>
              <w:spacing w:line="240" w:lineRule="auto"/>
              <w:jc w:val="center"/>
              <w:rPr>
                <w:sz w:val="17"/>
                <w:szCs w:val="17"/>
              </w:rPr>
            </w:pPr>
            <w:r w:rsidRPr="00600ACE">
              <w:rPr>
                <w:sz w:val="17"/>
                <w:szCs w:val="17"/>
              </w:rPr>
              <w:t>60</w:t>
            </w:r>
          </w:p>
        </w:tc>
      </w:tr>
      <w:tr w:rsidR="00613209" w:rsidRPr="00543A25" w:rsidTr="00DF0E86">
        <w:trPr>
          <w:trHeight w:val="20"/>
          <w:jc w:val="center"/>
        </w:trPr>
        <w:tc>
          <w:tcPr>
            <w:tcW w:w="1991" w:type="dxa"/>
          </w:tcPr>
          <w:p w:rsidR="00613209" w:rsidRPr="00600ACE" w:rsidRDefault="00613209" w:rsidP="00613209">
            <w:pPr>
              <w:widowControl w:val="0"/>
              <w:spacing w:line="240" w:lineRule="auto"/>
              <w:jc w:val="center"/>
              <w:rPr>
                <w:sz w:val="17"/>
                <w:szCs w:val="17"/>
              </w:rPr>
            </w:pPr>
            <w:r w:rsidRPr="00600ACE">
              <w:rPr>
                <w:sz w:val="17"/>
                <w:szCs w:val="17"/>
              </w:rPr>
              <w:t>0</w:t>
            </w:r>
          </w:p>
        </w:tc>
        <w:tc>
          <w:tcPr>
            <w:tcW w:w="1411" w:type="dxa"/>
          </w:tcPr>
          <w:p w:rsidR="00613209" w:rsidRPr="00600ACE" w:rsidRDefault="00613209" w:rsidP="00613209">
            <w:pPr>
              <w:widowControl w:val="0"/>
              <w:spacing w:line="240" w:lineRule="auto"/>
              <w:ind w:firstLine="33"/>
              <w:jc w:val="center"/>
              <w:rPr>
                <w:sz w:val="17"/>
                <w:szCs w:val="17"/>
              </w:rPr>
            </w:pPr>
            <w:r w:rsidRPr="00600ACE">
              <w:rPr>
                <w:sz w:val="17"/>
                <w:szCs w:val="17"/>
              </w:rPr>
              <w:t>10</w:t>
            </w:r>
          </w:p>
        </w:tc>
        <w:tc>
          <w:tcPr>
            <w:tcW w:w="1275" w:type="dxa"/>
          </w:tcPr>
          <w:p w:rsidR="00613209" w:rsidRPr="00600ACE" w:rsidRDefault="00613209" w:rsidP="00613209">
            <w:pPr>
              <w:widowControl w:val="0"/>
              <w:spacing w:line="240" w:lineRule="auto"/>
              <w:jc w:val="center"/>
              <w:rPr>
                <w:sz w:val="17"/>
                <w:szCs w:val="17"/>
              </w:rPr>
            </w:pPr>
            <w:r w:rsidRPr="00600ACE">
              <w:rPr>
                <w:sz w:val="17"/>
                <w:szCs w:val="17"/>
              </w:rPr>
              <w:t>1578</w:t>
            </w:r>
          </w:p>
        </w:tc>
        <w:tc>
          <w:tcPr>
            <w:tcW w:w="1843" w:type="dxa"/>
          </w:tcPr>
          <w:p w:rsidR="00613209" w:rsidRPr="00600ACE" w:rsidRDefault="00613209" w:rsidP="00613209">
            <w:pPr>
              <w:widowControl w:val="0"/>
              <w:spacing w:line="240" w:lineRule="auto"/>
              <w:jc w:val="center"/>
              <w:rPr>
                <w:sz w:val="17"/>
                <w:szCs w:val="17"/>
              </w:rPr>
            </w:pPr>
            <w:r w:rsidRPr="00600ACE">
              <w:rPr>
                <w:sz w:val="17"/>
                <w:szCs w:val="17"/>
              </w:rPr>
              <w:t>48</w:t>
            </w:r>
          </w:p>
        </w:tc>
      </w:tr>
      <w:tr w:rsidR="00613209" w:rsidRPr="00543A25" w:rsidTr="00DF0E86">
        <w:trPr>
          <w:trHeight w:val="20"/>
          <w:jc w:val="center"/>
        </w:trPr>
        <w:tc>
          <w:tcPr>
            <w:tcW w:w="1991" w:type="dxa"/>
          </w:tcPr>
          <w:p w:rsidR="00613209" w:rsidRPr="00600ACE" w:rsidRDefault="00613209" w:rsidP="00613209">
            <w:pPr>
              <w:widowControl w:val="0"/>
              <w:spacing w:line="240" w:lineRule="auto"/>
              <w:jc w:val="center"/>
              <w:rPr>
                <w:sz w:val="17"/>
                <w:szCs w:val="17"/>
              </w:rPr>
            </w:pPr>
            <w:r w:rsidRPr="00600ACE">
              <w:rPr>
                <w:sz w:val="17"/>
                <w:szCs w:val="17"/>
              </w:rPr>
              <w:t>0</w:t>
            </w:r>
          </w:p>
        </w:tc>
        <w:tc>
          <w:tcPr>
            <w:tcW w:w="1411" w:type="dxa"/>
          </w:tcPr>
          <w:p w:rsidR="00613209" w:rsidRPr="00600ACE" w:rsidRDefault="00613209" w:rsidP="00613209">
            <w:pPr>
              <w:widowControl w:val="0"/>
              <w:spacing w:line="240" w:lineRule="auto"/>
              <w:ind w:firstLine="33"/>
              <w:jc w:val="center"/>
              <w:rPr>
                <w:sz w:val="17"/>
                <w:szCs w:val="17"/>
              </w:rPr>
            </w:pPr>
            <w:r w:rsidRPr="00600ACE">
              <w:rPr>
                <w:sz w:val="17"/>
                <w:szCs w:val="17"/>
              </w:rPr>
              <w:t>15</w:t>
            </w:r>
          </w:p>
        </w:tc>
        <w:tc>
          <w:tcPr>
            <w:tcW w:w="1275" w:type="dxa"/>
          </w:tcPr>
          <w:p w:rsidR="00613209" w:rsidRPr="00600ACE" w:rsidRDefault="00613209" w:rsidP="00613209">
            <w:pPr>
              <w:widowControl w:val="0"/>
              <w:spacing w:line="240" w:lineRule="auto"/>
              <w:jc w:val="center"/>
              <w:rPr>
                <w:sz w:val="17"/>
                <w:szCs w:val="17"/>
              </w:rPr>
            </w:pPr>
            <w:r w:rsidRPr="00600ACE">
              <w:rPr>
                <w:sz w:val="17"/>
                <w:szCs w:val="17"/>
              </w:rPr>
              <w:t>1616</w:t>
            </w:r>
          </w:p>
        </w:tc>
        <w:tc>
          <w:tcPr>
            <w:tcW w:w="1843" w:type="dxa"/>
          </w:tcPr>
          <w:p w:rsidR="00613209" w:rsidRPr="00600ACE" w:rsidRDefault="00613209" w:rsidP="00613209">
            <w:pPr>
              <w:widowControl w:val="0"/>
              <w:spacing w:line="240" w:lineRule="auto"/>
              <w:jc w:val="center"/>
              <w:rPr>
                <w:sz w:val="17"/>
                <w:szCs w:val="17"/>
              </w:rPr>
            </w:pPr>
            <w:r w:rsidRPr="00600ACE">
              <w:rPr>
                <w:sz w:val="17"/>
                <w:szCs w:val="17"/>
              </w:rPr>
              <w:t>45</w:t>
            </w:r>
          </w:p>
        </w:tc>
      </w:tr>
      <w:tr w:rsidR="00613209" w:rsidRPr="00543A25" w:rsidTr="00DF0E86">
        <w:trPr>
          <w:trHeight w:val="20"/>
          <w:jc w:val="center"/>
        </w:trPr>
        <w:tc>
          <w:tcPr>
            <w:tcW w:w="1991" w:type="dxa"/>
          </w:tcPr>
          <w:p w:rsidR="00613209" w:rsidRPr="00600ACE" w:rsidRDefault="00613209" w:rsidP="00613209">
            <w:pPr>
              <w:widowControl w:val="0"/>
              <w:spacing w:line="240" w:lineRule="auto"/>
              <w:jc w:val="center"/>
              <w:rPr>
                <w:sz w:val="17"/>
                <w:szCs w:val="17"/>
              </w:rPr>
            </w:pPr>
            <w:r w:rsidRPr="00600ACE">
              <w:rPr>
                <w:sz w:val="17"/>
                <w:szCs w:val="17"/>
              </w:rPr>
              <w:t>0</w:t>
            </w:r>
          </w:p>
        </w:tc>
        <w:tc>
          <w:tcPr>
            <w:tcW w:w="1411" w:type="dxa"/>
          </w:tcPr>
          <w:p w:rsidR="00613209" w:rsidRPr="00600ACE" w:rsidRDefault="00613209" w:rsidP="00613209">
            <w:pPr>
              <w:widowControl w:val="0"/>
              <w:spacing w:line="240" w:lineRule="auto"/>
              <w:ind w:firstLine="33"/>
              <w:jc w:val="center"/>
              <w:rPr>
                <w:sz w:val="17"/>
                <w:szCs w:val="17"/>
              </w:rPr>
            </w:pPr>
            <w:r w:rsidRPr="00600ACE">
              <w:rPr>
                <w:sz w:val="17"/>
                <w:szCs w:val="17"/>
              </w:rPr>
              <w:t>20</w:t>
            </w:r>
          </w:p>
        </w:tc>
        <w:tc>
          <w:tcPr>
            <w:tcW w:w="1275" w:type="dxa"/>
          </w:tcPr>
          <w:p w:rsidR="00613209" w:rsidRPr="00600ACE" w:rsidRDefault="00613209" w:rsidP="00613209">
            <w:pPr>
              <w:widowControl w:val="0"/>
              <w:spacing w:line="240" w:lineRule="auto"/>
              <w:jc w:val="center"/>
              <w:rPr>
                <w:sz w:val="17"/>
                <w:szCs w:val="17"/>
              </w:rPr>
            </w:pPr>
            <w:r w:rsidRPr="00600ACE">
              <w:rPr>
                <w:sz w:val="17"/>
                <w:szCs w:val="17"/>
              </w:rPr>
              <w:t>1441</w:t>
            </w:r>
          </w:p>
        </w:tc>
        <w:tc>
          <w:tcPr>
            <w:tcW w:w="1843" w:type="dxa"/>
          </w:tcPr>
          <w:p w:rsidR="00613209" w:rsidRPr="00600ACE" w:rsidRDefault="00613209" w:rsidP="00613209">
            <w:pPr>
              <w:widowControl w:val="0"/>
              <w:spacing w:line="240" w:lineRule="auto"/>
              <w:jc w:val="center"/>
              <w:rPr>
                <w:sz w:val="17"/>
                <w:szCs w:val="17"/>
              </w:rPr>
            </w:pPr>
            <w:r w:rsidRPr="00600ACE">
              <w:rPr>
                <w:sz w:val="17"/>
                <w:szCs w:val="17"/>
              </w:rPr>
              <w:t>37</w:t>
            </w:r>
          </w:p>
        </w:tc>
      </w:tr>
      <w:tr w:rsidR="00613209" w:rsidRPr="00543A25" w:rsidTr="00DF0E86">
        <w:trPr>
          <w:trHeight w:val="20"/>
          <w:jc w:val="center"/>
        </w:trPr>
        <w:tc>
          <w:tcPr>
            <w:tcW w:w="1991" w:type="dxa"/>
          </w:tcPr>
          <w:p w:rsidR="00613209" w:rsidRPr="00600ACE" w:rsidRDefault="00613209" w:rsidP="00613209">
            <w:pPr>
              <w:widowControl w:val="0"/>
              <w:spacing w:line="240" w:lineRule="auto"/>
              <w:jc w:val="center"/>
              <w:rPr>
                <w:sz w:val="17"/>
                <w:szCs w:val="17"/>
              </w:rPr>
            </w:pPr>
            <w:r w:rsidRPr="00600ACE">
              <w:rPr>
                <w:sz w:val="17"/>
                <w:szCs w:val="17"/>
              </w:rPr>
              <w:t>0</w:t>
            </w:r>
          </w:p>
        </w:tc>
        <w:tc>
          <w:tcPr>
            <w:tcW w:w="1411" w:type="dxa"/>
          </w:tcPr>
          <w:p w:rsidR="00613209" w:rsidRPr="00600ACE" w:rsidRDefault="00613209" w:rsidP="00613209">
            <w:pPr>
              <w:widowControl w:val="0"/>
              <w:spacing w:line="240" w:lineRule="auto"/>
              <w:ind w:firstLine="33"/>
              <w:jc w:val="center"/>
              <w:rPr>
                <w:sz w:val="17"/>
                <w:szCs w:val="17"/>
              </w:rPr>
            </w:pPr>
            <w:r w:rsidRPr="00600ACE">
              <w:rPr>
                <w:sz w:val="17"/>
                <w:szCs w:val="17"/>
              </w:rPr>
              <w:t>30</w:t>
            </w:r>
          </w:p>
        </w:tc>
        <w:tc>
          <w:tcPr>
            <w:tcW w:w="1275" w:type="dxa"/>
          </w:tcPr>
          <w:p w:rsidR="00613209" w:rsidRPr="00600ACE" w:rsidRDefault="00613209" w:rsidP="00613209">
            <w:pPr>
              <w:widowControl w:val="0"/>
              <w:spacing w:line="240" w:lineRule="auto"/>
              <w:jc w:val="center"/>
              <w:rPr>
                <w:sz w:val="17"/>
                <w:szCs w:val="17"/>
              </w:rPr>
            </w:pPr>
            <w:r w:rsidRPr="00600ACE">
              <w:rPr>
                <w:sz w:val="17"/>
                <w:szCs w:val="17"/>
              </w:rPr>
              <w:t>1384</w:t>
            </w:r>
          </w:p>
        </w:tc>
        <w:tc>
          <w:tcPr>
            <w:tcW w:w="1843" w:type="dxa"/>
          </w:tcPr>
          <w:p w:rsidR="00613209" w:rsidRPr="00600ACE" w:rsidRDefault="00613209" w:rsidP="00613209">
            <w:pPr>
              <w:widowControl w:val="0"/>
              <w:spacing w:line="240" w:lineRule="auto"/>
              <w:jc w:val="center"/>
              <w:rPr>
                <w:sz w:val="17"/>
                <w:szCs w:val="17"/>
              </w:rPr>
            </w:pPr>
            <w:r w:rsidRPr="00600ACE">
              <w:rPr>
                <w:sz w:val="17"/>
                <w:szCs w:val="17"/>
              </w:rPr>
              <w:t>32</w:t>
            </w:r>
          </w:p>
        </w:tc>
      </w:tr>
      <w:tr w:rsidR="00613209" w:rsidRPr="00543A25" w:rsidTr="00DF0E86">
        <w:trPr>
          <w:trHeight w:val="20"/>
          <w:jc w:val="center"/>
        </w:trPr>
        <w:tc>
          <w:tcPr>
            <w:tcW w:w="1991" w:type="dxa"/>
          </w:tcPr>
          <w:p w:rsidR="00613209" w:rsidRPr="00600ACE" w:rsidRDefault="00613209" w:rsidP="00613209">
            <w:pPr>
              <w:widowControl w:val="0"/>
              <w:spacing w:line="240" w:lineRule="auto"/>
              <w:jc w:val="center"/>
              <w:rPr>
                <w:sz w:val="17"/>
                <w:szCs w:val="17"/>
              </w:rPr>
            </w:pPr>
            <w:r w:rsidRPr="00600ACE">
              <w:rPr>
                <w:sz w:val="17"/>
                <w:szCs w:val="17"/>
              </w:rPr>
              <w:t>30</w:t>
            </w:r>
          </w:p>
        </w:tc>
        <w:tc>
          <w:tcPr>
            <w:tcW w:w="1411" w:type="dxa"/>
          </w:tcPr>
          <w:p w:rsidR="00613209" w:rsidRPr="00600ACE" w:rsidRDefault="00613209" w:rsidP="00613209">
            <w:pPr>
              <w:widowControl w:val="0"/>
              <w:spacing w:line="240" w:lineRule="auto"/>
              <w:ind w:firstLine="33"/>
              <w:jc w:val="center"/>
              <w:rPr>
                <w:sz w:val="17"/>
                <w:szCs w:val="17"/>
              </w:rPr>
            </w:pPr>
            <w:r w:rsidRPr="00600ACE">
              <w:rPr>
                <w:sz w:val="17"/>
                <w:szCs w:val="17"/>
              </w:rPr>
              <w:t>10</w:t>
            </w:r>
          </w:p>
        </w:tc>
        <w:tc>
          <w:tcPr>
            <w:tcW w:w="1275" w:type="dxa"/>
          </w:tcPr>
          <w:p w:rsidR="00613209" w:rsidRPr="00600ACE" w:rsidRDefault="00613209" w:rsidP="00613209">
            <w:pPr>
              <w:widowControl w:val="0"/>
              <w:spacing w:line="240" w:lineRule="auto"/>
              <w:jc w:val="center"/>
              <w:rPr>
                <w:sz w:val="17"/>
                <w:szCs w:val="17"/>
              </w:rPr>
            </w:pPr>
            <w:r w:rsidRPr="00600ACE">
              <w:rPr>
                <w:sz w:val="17"/>
                <w:szCs w:val="17"/>
              </w:rPr>
              <w:t>1768</w:t>
            </w:r>
          </w:p>
        </w:tc>
        <w:tc>
          <w:tcPr>
            <w:tcW w:w="1843" w:type="dxa"/>
          </w:tcPr>
          <w:p w:rsidR="00613209" w:rsidRPr="00600ACE" w:rsidRDefault="00613209" w:rsidP="00613209">
            <w:pPr>
              <w:widowControl w:val="0"/>
              <w:spacing w:line="240" w:lineRule="auto"/>
              <w:jc w:val="center"/>
              <w:rPr>
                <w:sz w:val="17"/>
                <w:szCs w:val="17"/>
              </w:rPr>
            </w:pPr>
            <w:r w:rsidRPr="00600ACE">
              <w:rPr>
                <w:sz w:val="17"/>
                <w:szCs w:val="17"/>
              </w:rPr>
              <w:t>53</w:t>
            </w:r>
          </w:p>
        </w:tc>
      </w:tr>
      <w:tr w:rsidR="00613209" w:rsidRPr="00543A25" w:rsidTr="00DF0E86">
        <w:trPr>
          <w:trHeight w:val="20"/>
          <w:jc w:val="center"/>
        </w:trPr>
        <w:tc>
          <w:tcPr>
            <w:tcW w:w="1991" w:type="dxa"/>
          </w:tcPr>
          <w:p w:rsidR="00613209" w:rsidRPr="00600ACE" w:rsidRDefault="00613209" w:rsidP="00613209">
            <w:pPr>
              <w:widowControl w:val="0"/>
              <w:spacing w:line="240" w:lineRule="auto"/>
              <w:jc w:val="center"/>
              <w:rPr>
                <w:sz w:val="17"/>
                <w:szCs w:val="17"/>
              </w:rPr>
            </w:pPr>
            <w:r w:rsidRPr="00600ACE">
              <w:rPr>
                <w:sz w:val="17"/>
                <w:szCs w:val="17"/>
              </w:rPr>
              <w:t>50</w:t>
            </w:r>
          </w:p>
        </w:tc>
        <w:tc>
          <w:tcPr>
            <w:tcW w:w="1411" w:type="dxa"/>
          </w:tcPr>
          <w:p w:rsidR="00613209" w:rsidRPr="00600ACE" w:rsidRDefault="00613209" w:rsidP="00613209">
            <w:pPr>
              <w:widowControl w:val="0"/>
              <w:spacing w:line="240" w:lineRule="auto"/>
              <w:ind w:firstLine="33"/>
              <w:jc w:val="center"/>
              <w:rPr>
                <w:sz w:val="17"/>
                <w:szCs w:val="17"/>
              </w:rPr>
            </w:pPr>
            <w:r w:rsidRPr="00600ACE">
              <w:rPr>
                <w:sz w:val="17"/>
                <w:szCs w:val="17"/>
              </w:rPr>
              <w:t>10</w:t>
            </w:r>
          </w:p>
        </w:tc>
        <w:tc>
          <w:tcPr>
            <w:tcW w:w="1275" w:type="dxa"/>
          </w:tcPr>
          <w:p w:rsidR="00613209" w:rsidRPr="00600ACE" w:rsidRDefault="00613209" w:rsidP="00613209">
            <w:pPr>
              <w:widowControl w:val="0"/>
              <w:spacing w:line="240" w:lineRule="auto"/>
              <w:jc w:val="center"/>
              <w:rPr>
                <w:sz w:val="17"/>
                <w:szCs w:val="17"/>
              </w:rPr>
            </w:pPr>
            <w:r w:rsidRPr="00600ACE">
              <w:rPr>
                <w:sz w:val="17"/>
                <w:szCs w:val="17"/>
              </w:rPr>
              <w:t>1796</w:t>
            </w:r>
          </w:p>
        </w:tc>
        <w:tc>
          <w:tcPr>
            <w:tcW w:w="1843" w:type="dxa"/>
          </w:tcPr>
          <w:p w:rsidR="00613209" w:rsidRPr="00600ACE" w:rsidRDefault="00613209" w:rsidP="00613209">
            <w:pPr>
              <w:widowControl w:val="0"/>
              <w:spacing w:line="240" w:lineRule="auto"/>
              <w:jc w:val="center"/>
              <w:rPr>
                <w:sz w:val="17"/>
                <w:szCs w:val="17"/>
              </w:rPr>
            </w:pPr>
            <w:r w:rsidRPr="00600ACE">
              <w:rPr>
                <w:sz w:val="17"/>
                <w:szCs w:val="17"/>
              </w:rPr>
              <w:t>49</w:t>
            </w:r>
          </w:p>
        </w:tc>
      </w:tr>
      <w:tr w:rsidR="00613209" w:rsidRPr="00543A25" w:rsidTr="00DF0E86">
        <w:trPr>
          <w:trHeight w:val="20"/>
          <w:jc w:val="center"/>
        </w:trPr>
        <w:tc>
          <w:tcPr>
            <w:tcW w:w="1991" w:type="dxa"/>
          </w:tcPr>
          <w:p w:rsidR="00613209" w:rsidRPr="00600ACE" w:rsidRDefault="00613209" w:rsidP="00613209">
            <w:pPr>
              <w:widowControl w:val="0"/>
              <w:spacing w:line="240" w:lineRule="auto"/>
              <w:jc w:val="center"/>
              <w:rPr>
                <w:sz w:val="17"/>
                <w:szCs w:val="17"/>
              </w:rPr>
            </w:pPr>
            <w:r w:rsidRPr="00600ACE">
              <w:rPr>
                <w:sz w:val="17"/>
                <w:szCs w:val="17"/>
              </w:rPr>
              <w:t>50</w:t>
            </w:r>
          </w:p>
        </w:tc>
        <w:tc>
          <w:tcPr>
            <w:tcW w:w="1411" w:type="dxa"/>
          </w:tcPr>
          <w:p w:rsidR="00613209" w:rsidRPr="00600ACE" w:rsidRDefault="00613209" w:rsidP="00613209">
            <w:pPr>
              <w:widowControl w:val="0"/>
              <w:spacing w:line="240" w:lineRule="auto"/>
              <w:ind w:firstLine="33"/>
              <w:jc w:val="center"/>
              <w:rPr>
                <w:sz w:val="17"/>
                <w:szCs w:val="17"/>
              </w:rPr>
            </w:pPr>
            <w:r w:rsidRPr="00600ACE">
              <w:rPr>
                <w:sz w:val="17"/>
                <w:szCs w:val="17"/>
              </w:rPr>
              <w:t>5</w:t>
            </w:r>
          </w:p>
        </w:tc>
        <w:tc>
          <w:tcPr>
            <w:tcW w:w="1275" w:type="dxa"/>
          </w:tcPr>
          <w:p w:rsidR="00613209" w:rsidRPr="00600ACE" w:rsidRDefault="00613209" w:rsidP="00613209">
            <w:pPr>
              <w:widowControl w:val="0"/>
              <w:spacing w:line="240" w:lineRule="auto"/>
              <w:jc w:val="center"/>
              <w:rPr>
                <w:sz w:val="17"/>
                <w:szCs w:val="17"/>
              </w:rPr>
            </w:pPr>
            <w:r w:rsidRPr="00600ACE">
              <w:rPr>
                <w:sz w:val="17"/>
                <w:szCs w:val="17"/>
              </w:rPr>
              <w:t>1956</w:t>
            </w:r>
          </w:p>
        </w:tc>
        <w:tc>
          <w:tcPr>
            <w:tcW w:w="1843" w:type="dxa"/>
          </w:tcPr>
          <w:p w:rsidR="00613209" w:rsidRPr="00600ACE" w:rsidRDefault="00613209" w:rsidP="00613209">
            <w:pPr>
              <w:widowControl w:val="0"/>
              <w:spacing w:line="240" w:lineRule="auto"/>
              <w:jc w:val="center"/>
              <w:rPr>
                <w:sz w:val="17"/>
                <w:szCs w:val="17"/>
              </w:rPr>
            </w:pPr>
            <w:r w:rsidRPr="00600ACE">
              <w:rPr>
                <w:sz w:val="17"/>
                <w:szCs w:val="17"/>
              </w:rPr>
              <w:t>55</w:t>
            </w:r>
          </w:p>
        </w:tc>
      </w:tr>
    </w:tbl>
    <w:p w:rsidR="002111EC" w:rsidRPr="002111EC" w:rsidRDefault="002111EC" w:rsidP="00DF0E86">
      <w:pPr>
        <w:widowControl w:val="0"/>
        <w:kinsoku w:val="0"/>
        <w:spacing w:before="120" w:line="240" w:lineRule="auto"/>
        <w:ind w:firstLine="0"/>
      </w:pPr>
      <w:r w:rsidRPr="00DB6899">
        <w:t>The use of mixed binders is advisable with a limited content of the porous component in order to avoid a sharp deterioration in the technological properties of the molding mass.</w:t>
      </w:r>
    </w:p>
    <w:p w:rsidR="002111EC" w:rsidRPr="002111EC" w:rsidRDefault="002111EC" w:rsidP="007412F4">
      <w:pPr>
        <w:widowControl w:val="0"/>
        <w:kinsoku w:val="0"/>
        <w:spacing w:line="240" w:lineRule="auto"/>
      </w:pPr>
      <w:r w:rsidRPr="00DB6899">
        <w:t xml:space="preserve">The nature of the influence of the microsphere concentration does not differ in </w:t>
      </w:r>
      <w:r w:rsidRPr="00DB6899">
        <w:lastRenderedPageBreak/>
        <w:t>principle for binders of different material composition (Fig. 3). High strength of compositions with microspheres is due to the effect of magnesium chloride on the surface of aluminum silicate particles.</w:t>
      </w:r>
    </w:p>
    <w:p w:rsidR="00DB6899" w:rsidRDefault="00DB6899" w:rsidP="007412F4">
      <w:pPr>
        <w:widowControl w:val="0"/>
        <w:spacing w:line="240" w:lineRule="auto"/>
      </w:pPr>
      <w:r w:rsidRPr="00DB6899">
        <w:t>The insignificant solubility of the microspheres material in the medium of the chlor</w:t>
      </w:r>
      <w:r>
        <w:t>ide-magnesia</w:t>
      </w:r>
      <w:r w:rsidRPr="00DB6899">
        <w:t xml:space="preserve"> matrix initiates the appearance of fibrous forms of </w:t>
      </w:r>
      <w:proofErr w:type="spellStart"/>
      <w:r w:rsidRPr="00DB6899">
        <w:t>aluminosilicate</w:t>
      </w:r>
      <w:proofErr w:type="spellEnd"/>
      <w:r w:rsidRPr="00DB6899">
        <w:t xml:space="preserve"> ne</w:t>
      </w:r>
      <w:r>
        <w:t>w formations</w:t>
      </w:r>
      <w:r w:rsidRPr="00DB6899">
        <w:t xml:space="preserve"> on the surface, which contribute to increased adhesion to the matrix of the binder stone.</w:t>
      </w:r>
    </w:p>
    <w:p w:rsidR="00613209" w:rsidRPr="00543A25" w:rsidRDefault="00613209" w:rsidP="00613209">
      <w:pPr>
        <w:spacing w:line="240" w:lineRule="auto"/>
        <w:jc w:val="center"/>
      </w:pPr>
      <w:r w:rsidRPr="00543A25">
        <w:rPr>
          <w:noProof/>
          <w:lang w:val="ru-RU" w:eastAsia="ru-RU"/>
        </w:rPr>
        <w:drawing>
          <wp:inline distT="0" distB="0" distL="0" distR="0">
            <wp:extent cx="2905125" cy="1524000"/>
            <wp:effectExtent l="0" t="0" r="0" b="0"/>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3209" w:rsidRPr="00DB6899" w:rsidRDefault="00DB6899" w:rsidP="00DF0E86">
      <w:pPr>
        <w:spacing w:before="120" w:after="240" w:line="220" w:lineRule="atLeast"/>
        <w:ind w:firstLine="0"/>
        <w:jc w:val="center"/>
        <w:rPr>
          <w:sz w:val="18"/>
          <w:szCs w:val="18"/>
        </w:rPr>
      </w:pPr>
      <w:proofErr w:type="gramStart"/>
      <w:r>
        <w:rPr>
          <w:b/>
          <w:sz w:val="18"/>
          <w:szCs w:val="18"/>
        </w:rPr>
        <w:t>Fig</w:t>
      </w:r>
      <w:r w:rsidR="00600ACE" w:rsidRPr="00DB6899">
        <w:rPr>
          <w:b/>
          <w:sz w:val="18"/>
          <w:szCs w:val="18"/>
        </w:rPr>
        <w:t>. 3.</w:t>
      </w:r>
      <w:proofErr w:type="gramEnd"/>
      <w:r w:rsidR="00613209" w:rsidRPr="00DB6899">
        <w:rPr>
          <w:color w:val="1D1B11" w:themeColor="background2" w:themeShade="1A"/>
          <w:sz w:val="18"/>
          <w:szCs w:val="18"/>
        </w:rPr>
        <w:t xml:space="preserve"> </w:t>
      </w:r>
      <w:r w:rsidRPr="00DB6899">
        <w:rPr>
          <w:color w:val="1D1B11" w:themeColor="background2" w:themeShade="1A"/>
          <w:sz w:val="18"/>
          <w:szCs w:val="18"/>
        </w:rPr>
        <w:t>Influence of the ash microsphere content on the composition properties.</w:t>
      </w:r>
    </w:p>
    <w:p w:rsidR="00DB6899" w:rsidRPr="00DB6899" w:rsidRDefault="00DB6899" w:rsidP="00DF0E86">
      <w:pPr>
        <w:tabs>
          <w:tab w:val="left" w:pos="3300"/>
        </w:tabs>
        <w:spacing w:line="240" w:lineRule="auto"/>
        <w:ind w:firstLine="0"/>
      </w:pPr>
      <w:r w:rsidRPr="00DB6899">
        <w:t xml:space="preserve">An effective porous technogenic aggregate is expanded polystyrene granules formed during the destruction of used containers. </w:t>
      </w:r>
      <w:r>
        <w:t>E</w:t>
      </w:r>
      <w:r w:rsidRPr="00DB6899">
        <w:t>xpanded polystyrene granules are one of the lightest concrete aggregates.</w:t>
      </w:r>
    </w:p>
    <w:p w:rsidR="00DB6899" w:rsidRDefault="0099615D" w:rsidP="00DB6899">
      <w:pPr>
        <w:tabs>
          <w:tab w:val="left" w:pos="3300"/>
        </w:tabs>
        <w:spacing w:line="240" w:lineRule="auto"/>
      </w:pPr>
      <w:r>
        <w:t>E</w:t>
      </w:r>
      <w:r w:rsidRPr="00DB6899">
        <w:t xml:space="preserve">xpanded polystyrene granules </w:t>
      </w:r>
      <w:r w:rsidR="00DB6899" w:rsidRPr="00DB6899">
        <w:t>are in</w:t>
      </w:r>
      <w:r>
        <w:t>serted</w:t>
      </w:r>
      <w:r w:rsidR="00DB6899" w:rsidRPr="00DB6899">
        <w:t xml:space="preserve"> to reduce the consumption of the binder, as well as to improve the thermal insulation characteristics. Practical implementation of the developments will </w:t>
      </w:r>
      <w:r>
        <w:t>lessen</w:t>
      </w:r>
      <w:r w:rsidR="00DB6899" w:rsidRPr="00DB6899">
        <w:t xml:space="preserve"> the cost of production and reduce environmental tensions in the regions.</w:t>
      </w:r>
    </w:p>
    <w:p w:rsidR="0099615D" w:rsidRDefault="0099615D" w:rsidP="00600ACE">
      <w:pPr>
        <w:widowControl w:val="0"/>
        <w:kinsoku w:val="0"/>
        <w:spacing w:line="240" w:lineRule="auto"/>
        <w:contextualSpacing/>
      </w:pPr>
      <w:r w:rsidRPr="0099615D">
        <w:t xml:space="preserve">To obtain a homogeneous technological molding mixture, a mobile mass of binder is required, enveloping light polystyrene granules. For this purpose, it is advisable to </w:t>
      </w:r>
      <w:proofErr w:type="spellStart"/>
      <w:r w:rsidRPr="0099615D">
        <w:t>porize</w:t>
      </w:r>
      <w:proofErr w:type="spellEnd"/>
      <w:r w:rsidRPr="0099615D">
        <w:t xml:space="preserve"> the binder </w:t>
      </w:r>
      <w:r>
        <w:t>paste</w:t>
      </w:r>
      <w:r w:rsidRPr="0099615D">
        <w:t>, the density of which significantly exceeds the similar characteristic of expanded polystyrene. The uniformity of distribution of expanded polystyrene granules in the structure of compositions increases when using foam mass. To form stable magnesia foam mass, it is necessary to introduce 2.5</w:t>
      </w:r>
      <w:r w:rsidR="002111EC" w:rsidRPr="002111EC">
        <w:t xml:space="preserve"> </w:t>
      </w:r>
      <w:r w:rsidR="002111EC" w:rsidRPr="00F857F3">
        <w:rPr>
          <w:color w:val="1D1B11" w:themeColor="background2" w:themeShade="1A"/>
          <w:sz w:val="17"/>
          <w:szCs w:val="17"/>
        </w:rPr>
        <w:t>–</w:t>
      </w:r>
      <w:r w:rsidR="002111EC" w:rsidRPr="002111EC">
        <w:rPr>
          <w:color w:val="1D1B11" w:themeColor="background2" w:themeShade="1A"/>
          <w:sz w:val="17"/>
          <w:szCs w:val="17"/>
        </w:rPr>
        <w:t xml:space="preserve"> </w:t>
      </w:r>
      <w:r w:rsidRPr="0099615D">
        <w:t>3.0 % of the foaming agent.</w:t>
      </w:r>
    </w:p>
    <w:p w:rsidR="0099615D" w:rsidRPr="004A08E5" w:rsidRDefault="0099615D" w:rsidP="007412F4">
      <w:pPr>
        <w:widowControl w:val="0"/>
        <w:kinsoku w:val="0"/>
        <w:spacing w:line="240" w:lineRule="auto"/>
        <w:contextualSpacing/>
      </w:pPr>
      <w:r w:rsidRPr="0099615D">
        <w:t xml:space="preserve">Masses with different amounts of expanded polystyrene granules were studied (table 2). Preparation of the molding mixture involves: at the first stage, foam mass is obtained in a mixer for 2.5 minutes, at the second stage, expanded polystyrene granules are added and mixed together until a homogeneous state is obtained. The </w:t>
      </w:r>
      <w:proofErr w:type="spellStart"/>
      <w:r w:rsidRPr="0099615D">
        <w:t>porizing</w:t>
      </w:r>
      <w:proofErr w:type="spellEnd"/>
      <w:r w:rsidRPr="0099615D">
        <w:t xml:space="preserve"> components comple</w:t>
      </w:r>
      <w:r>
        <w:t xml:space="preserve">te </w:t>
      </w:r>
      <w:r w:rsidRPr="0099615D">
        <w:t xml:space="preserve">each other, creating a composite with a density of </w:t>
      </w:r>
      <w:r w:rsidR="002111EC" w:rsidRPr="002111EC">
        <w:t xml:space="preserve">         </w:t>
      </w:r>
      <w:r w:rsidRPr="0099615D">
        <w:t>300 kg/m</w:t>
      </w:r>
      <w:r w:rsidRPr="0099615D">
        <w:rPr>
          <w:vertAlign w:val="superscript"/>
        </w:rPr>
        <w:t xml:space="preserve">3 </w:t>
      </w:r>
      <w:r w:rsidRPr="0099615D">
        <w:t>or less.</w:t>
      </w:r>
    </w:p>
    <w:p w:rsidR="007412F4" w:rsidRPr="002111EC" w:rsidRDefault="007412F4" w:rsidP="007412F4">
      <w:pPr>
        <w:widowControl w:val="0"/>
        <w:kinsoku w:val="0"/>
        <w:spacing w:line="240" w:lineRule="auto"/>
        <w:ind w:firstLine="284"/>
      </w:pPr>
      <w:r w:rsidRPr="0099615D">
        <w:t xml:space="preserve">To </w:t>
      </w:r>
      <w:r>
        <w:t>make</w:t>
      </w:r>
      <w:r w:rsidRPr="0099615D">
        <w:t xml:space="preserve"> the molding mass, a solution of magnesium chloride with a density of 1230 kg/m</w:t>
      </w:r>
      <w:r w:rsidRPr="0099615D">
        <w:rPr>
          <w:vertAlign w:val="superscript"/>
        </w:rPr>
        <w:t>3</w:t>
      </w:r>
      <w:r w:rsidRPr="0099615D">
        <w:t xml:space="preserve"> was poured into the mixing container, a protein foaming agent was added, and then the mixed binder was filled in. The resulting suspension was foamed in a </w:t>
      </w:r>
      <w:r>
        <w:t>blender type mixer</w:t>
      </w:r>
      <w:r w:rsidRPr="0099615D">
        <w:t>.</w:t>
      </w:r>
    </w:p>
    <w:p w:rsidR="007412F4" w:rsidRPr="007412F4" w:rsidRDefault="007412F4" w:rsidP="00A32E5D">
      <w:pPr>
        <w:widowControl w:val="0"/>
        <w:kinsoku w:val="0"/>
        <w:spacing w:line="240" w:lineRule="auto"/>
        <w:contextualSpacing/>
      </w:pPr>
      <w:r w:rsidRPr="0099615D">
        <w:t>The in</w:t>
      </w:r>
      <w:r>
        <w:t>sertion</w:t>
      </w:r>
      <w:r w:rsidRPr="0099615D">
        <w:t xml:space="preserve"> of expanded polystyrene granules significantly reduces the density and strength of magnesia samples.</w:t>
      </w:r>
    </w:p>
    <w:p w:rsidR="00613209" w:rsidRPr="0099615D" w:rsidRDefault="0099615D" w:rsidP="00DF0E86">
      <w:pPr>
        <w:tabs>
          <w:tab w:val="left" w:pos="3300"/>
        </w:tabs>
        <w:spacing w:before="240" w:after="120" w:line="220" w:lineRule="atLeast"/>
        <w:ind w:firstLine="0"/>
        <w:rPr>
          <w:sz w:val="18"/>
          <w:szCs w:val="18"/>
        </w:rPr>
      </w:pPr>
      <w:proofErr w:type="gramStart"/>
      <w:r>
        <w:rPr>
          <w:b/>
          <w:sz w:val="18"/>
          <w:szCs w:val="18"/>
        </w:rPr>
        <w:lastRenderedPageBreak/>
        <w:t>Table</w:t>
      </w:r>
      <w:r w:rsidR="00613209" w:rsidRPr="0099615D">
        <w:rPr>
          <w:b/>
          <w:sz w:val="18"/>
          <w:szCs w:val="18"/>
        </w:rPr>
        <w:t xml:space="preserve"> 2</w:t>
      </w:r>
      <w:r w:rsidR="006606C3" w:rsidRPr="0099615D">
        <w:rPr>
          <w:b/>
          <w:sz w:val="18"/>
          <w:szCs w:val="18"/>
        </w:rPr>
        <w:t>.</w:t>
      </w:r>
      <w:proofErr w:type="gramEnd"/>
      <w:r w:rsidR="00613209" w:rsidRPr="0099615D">
        <w:rPr>
          <w:color w:val="1D1B11" w:themeColor="background2" w:themeShade="1A"/>
          <w:sz w:val="18"/>
          <w:szCs w:val="18"/>
        </w:rPr>
        <w:t xml:space="preserve"> </w:t>
      </w:r>
      <w:r w:rsidRPr="0099615D">
        <w:rPr>
          <w:color w:val="1D1B11" w:themeColor="background2" w:themeShade="1A"/>
          <w:sz w:val="18"/>
          <w:szCs w:val="18"/>
        </w:rPr>
        <w:t>Influence of expanded polystyrene on the properties of the foam-magnesium composition.</w:t>
      </w:r>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19"/>
        <w:gridCol w:w="2693"/>
      </w:tblGrid>
      <w:tr w:rsidR="00613209" w:rsidRPr="0099615D" w:rsidTr="007412F4">
        <w:trPr>
          <w:trHeight w:val="20"/>
        </w:trPr>
        <w:tc>
          <w:tcPr>
            <w:tcW w:w="2835" w:type="dxa"/>
            <w:vAlign w:val="center"/>
          </w:tcPr>
          <w:p w:rsidR="00613209" w:rsidRPr="006606C3" w:rsidRDefault="0099615D" w:rsidP="006606C3">
            <w:pPr>
              <w:spacing w:line="240" w:lineRule="auto"/>
              <w:ind w:firstLine="34"/>
              <w:jc w:val="center"/>
              <w:rPr>
                <w:sz w:val="17"/>
                <w:szCs w:val="17"/>
              </w:rPr>
            </w:pPr>
            <w:r>
              <w:rPr>
                <w:sz w:val="17"/>
                <w:szCs w:val="17"/>
              </w:rPr>
              <w:t>Amount of expanded polystyrene</w:t>
            </w:r>
            <w:r w:rsidR="00613209" w:rsidRPr="006606C3">
              <w:rPr>
                <w:sz w:val="17"/>
                <w:szCs w:val="17"/>
              </w:rPr>
              <w:t>, %</w:t>
            </w:r>
          </w:p>
        </w:tc>
        <w:tc>
          <w:tcPr>
            <w:tcW w:w="1419" w:type="dxa"/>
            <w:vAlign w:val="center"/>
          </w:tcPr>
          <w:p w:rsidR="00613209" w:rsidRPr="006606C3" w:rsidRDefault="0099615D" w:rsidP="0099615D">
            <w:pPr>
              <w:spacing w:line="240" w:lineRule="auto"/>
              <w:ind w:left="-108" w:right="-108" w:firstLine="0"/>
              <w:jc w:val="center"/>
              <w:rPr>
                <w:sz w:val="17"/>
                <w:szCs w:val="17"/>
                <w:vertAlign w:val="superscript"/>
              </w:rPr>
            </w:pPr>
            <w:r>
              <w:rPr>
                <w:sz w:val="17"/>
                <w:szCs w:val="17"/>
              </w:rPr>
              <w:t>Density</w:t>
            </w:r>
            <w:r w:rsidR="00613209" w:rsidRPr="006606C3">
              <w:rPr>
                <w:sz w:val="17"/>
                <w:szCs w:val="17"/>
              </w:rPr>
              <w:t xml:space="preserve">, </w:t>
            </w:r>
            <w:r>
              <w:rPr>
                <w:sz w:val="17"/>
                <w:szCs w:val="17"/>
              </w:rPr>
              <w:t>kg</w:t>
            </w:r>
            <w:r w:rsidR="00613209" w:rsidRPr="006606C3">
              <w:rPr>
                <w:sz w:val="17"/>
                <w:szCs w:val="17"/>
              </w:rPr>
              <w:t>/</w:t>
            </w:r>
            <w:r>
              <w:rPr>
                <w:sz w:val="17"/>
                <w:szCs w:val="17"/>
              </w:rPr>
              <w:t>m</w:t>
            </w:r>
            <w:r w:rsidR="00613209" w:rsidRPr="006606C3">
              <w:rPr>
                <w:sz w:val="17"/>
                <w:szCs w:val="17"/>
                <w:vertAlign w:val="superscript"/>
              </w:rPr>
              <w:t>3</w:t>
            </w:r>
          </w:p>
        </w:tc>
        <w:tc>
          <w:tcPr>
            <w:tcW w:w="2693" w:type="dxa"/>
            <w:vAlign w:val="center"/>
          </w:tcPr>
          <w:p w:rsidR="00613209" w:rsidRPr="0099615D" w:rsidRDefault="0099615D" w:rsidP="006606C3">
            <w:pPr>
              <w:spacing w:line="240" w:lineRule="auto"/>
              <w:ind w:firstLine="0"/>
              <w:jc w:val="center"/>
              <w:rPr>
                <w:sz w:val="17"/>
                <w:szCs w:val="17"/>
              </w:rPr>
            </w:pPr>
            <w:r w:rsidRPr="0099615D">
              <w:rPr>
                <w:sz w:val="17"/>
                <w:szCs w:val="17"/>
              </w:rPr>
              <w:t>Strength at the age of 7 days, MPa</w:t>
            </w:r>
          </w:p>
        </w:tc>
      </w:tr>
      <w:tr w:rsidR="00613209" w:rsidRPr="00543A25" w:rsidTr="007412F4">
        <w:trPr>
          <w:trHeight w:val="20"/>
        </w:trPr>
        <w:tc>
          <w:tcPr>
            <w:tcW w:w="2835" w:type="dxa"/>
          </w:tcPr>
          <w:p w:rsidR="00613209" w:rsidRPr="006606C3" w:rsidRDefault="00613209" w:rsidP="00613209">
            <w:pPr>
              <w:spacing w:line="240" w:lineRule="auto"/>
              <w:jc w:val="center"/>
              <w:rPr>
                <w:sz w:val="17"/>
                <w:szCs w:val="17"/>
              </w:rPr>
            </w:pPr>
            <w:r w:rsidRPr="006606C3">
              <w:rPr>
                <w:sz w:val="17"/>
                <w:szCs w:val="17"/>
              </w:rPr>
              <w:t>0</w:t>
            </w:r>
          </w:p>
        </w:tc>
        <w:tc>
          <w:tcPr>
            <w:tcW w:w="1419" w:type="dxa"/>
          </w:tcPr>
          <w:p w:rsidR="00613209" w:rsidRPr="006606C3" w:rsidRDefault="00613209" w:rsidP="00613209">
            <w:pPr>
              <w:spacing w:line="240" w:lineRule="auto"/>
              <w:jc w:val="center"/>
              <w:rPr>
                <w:sz w:val="17"/>
                <w:szCs w:val="17"/>
              </w:rPr>
            </w:pPr>
            <w:r w:rsidRPr="006606C3">
              <w:rPr>
                <w:sz w:val="17"/>
                <w:szCs w:val="17"/>
              </w:rPr>
              <w:t>520</w:t>
            </w:r>
          </w:p>
        </w:tc>
        <w:tc>
          <w:tcPr>
            <w:tcW w:w="2693" w:type="dxa"/>
          </w:tcPr>
          <w:p w:rsidR="00613209" w:rsidRPr="006606C3" w:rsidRDefault="00613209" w:rsidP="0099615D">
            <w:pPr>
              <w:spacing w:line="240" w:lineRule="auto"/>
              <w:jc w:val="center"/>
              <w:rPr>
                <w:sz w:val="17"/>
                <w:szCs w:val="17"/>
              </w:rPr>
            </w:pPr>
            <w:r w:rsidRPr="006606C3">
              <w:rPr>
                <w:sz w:val="17"/>
                <w:szCs w:val="17"/>
              </w:rPr>
              <w:t>5</w:t>
            </w:r>
            <w:r w:rsidR="0099615D">
              <w:rPr>
                <w:sz w:val="17"/>
                <w:szCs w:val="17"/>
              </w:rPr>
              <w:t>.</w:t>
            </w:r>
            <w:r w:rsidRPr="006606C3">
              <w:rPr>
                <w:sz w:val="17"/>
                <w:szCs w:val="17"/>
              </w:rPr>
              <w:t>8</w:t>
            </w:r>
          </w:p>
        </w:tc>
      </w:tr>
      <w:tr w:rsidR="00613209" w:rsidRPr="00543A25" w:rsidTr="007412F4">
        <w:trPr>
          <w:trHeight w:val="20"/>
        </w:trPr>
        <w:tc>
          <w:tcPr>
            <w:tcW w:w="2835" w:type="dxa"/>
          </w:tcPr>
          <w:p w:rsidR="00613209" w:rsidRPr="006606C3" w:rsidRDefault="00613209" w:rsidP="00613209">
            <w:pPr>
              <w:spacing w:line="240" w:lineRule="auto"/>
              <w:jc w:val="center"/>
              <w:rPr>
                <w:sz w:val="17"/>
                <w:szCs w:val="17"/>
              </w:rPr>
            </w:pPr>
            <w:r w:rsidRPr="006606C3">
              <w:rPr>
                <w:sz w:val="17"/>
                <w:szCs w:val="17"/>
              </w:rPr>
              <w:t>4</w:t>
            </w:r>
          </w:p>
        </w:tc>
        <w:tc>
          <w:tcPr>
            <w:tcW w:w="1419" w:type="dxa"/>
          </w:tcPr>
          <w:p w:rsidR="00613209" w:rsidRPr="006606C3" w:rsidRDefault="00613209" w:rsidP="00613209">
            <w:pPr>
              <w:spacing w:line="240" w:lineRule="auto"/>
              <w:jc w:val="center"/>
              <w:rPr>
                <w:sz w:val="17"/>
                <w:szCs w:val="17"/>
              </w:rPr>
            </w:pPr>
            <w:r w:rsidRPr="006606C3">
              <w:rPr>
                <w:sz w:val="17"/>
                <w:szCs w:val="17"/>
              </w:rPr>
              <w:t>330</w:t>
            </w:r>
          </w:p>
        </w:tc>
        <w:tc>
          <w:tcPr>
            <w:tcW w:w="2693" w:type="dxa"/>
          </w:tcPr>
          <w:p w:rsidR="00613209" w:rsidRPr="006606C3" w:rsidRDefault="00613209" w:rsidP="0099615D">
            <w:pPr>
              <w:spacing w:line="240" w:lineRule="auto"/>
              <w:jc w:val="center"/>
              <w:rPr>
                <w:sz w:val="17"/>
                <w:szCs w:val="17"/>
              </w:rPr>
            </w:pPr>
            <w:r w:rsidRPr="006606C3">
              <w:rPr>
                <w:sz w:val="17"/>
                <w:szCs w:val="17"/>
              </w:rPr>
              <w:t>3</w:t>
            </w:r>
            <w:r w:rsidR="0099615D">
              <w:rPr>
                <w:sz w:val="17"/>
                <w:szCs w:val="17"/>
              </w:rPr>
              <w:t>.</w:t>
            </w:r>
            <w:r w:rsidRPr="006606C3">
              <w:rPr>
                <w:sz w:val="17"/>
                <w:szCs w:val="17"/>
              </w:rPr>
              <w:t>4</w:t>
            </w:r>
          </w:p>
        </w:tc>
      </w:tr>
      <w:tr w:rsidR="00613209" w:rsidRPr="00543A25" w:rsidTr="007412F4">
        <w:trPr>
          <w:trHeight w:val="20"/>
        </w:trPr>
        <w:tc>
          <w:tcPr>
            <w:tcW w:w="2835" w:type="dxa"/>
          </w:tcPr>
          <w:p w:rsidR="00613209" w:rsidRPr="006606C3" w:rsidRDefault="00613209" w:rsidP="00613209">
            <w:pPr>
              <w:spacing w:line="240" w:lineRule="auto"/>
              <w:jc w:val="center"/>
              <w:rPr>
                <w:sz w:val="17"/>
                <w:szCs w:val="17"/>
              </w:rPr>
            </w:pPr>
            <w:r w:rsidRPr="006606C3">
              <w:rPr>
                <w:sz w:val="17"/>
                <w:szCs w:val="17"/>
              </w:rPr>
              <w:t>7</w:t>
            </w:r>
          </w:p>
        </w:tc>
        <w:tc>
          <w:tcPr>
            <w:tcW w:w="1419" w:type="dxa"/>
          </w:tcPr>
          <w:p w:rsidR="00613209" w:rsidRPr="006606C3" w:rsidRDefault="00613209" w:rsidP="00613209">
            <w:pPr>
              <w:spacing w:line="240" w:lineRule="auto"/>
              <w:jc w:val="center"/>
              <w:rPr>
                <w:sz w:val="17"/>
                <w:szCs w:val="17"/>
              </w:rPr>
            </w:pPr>
            <w:r w:rsidRPr="006606C3">
              <w:rPr>
                <w:sz w:val="17"/>
                <w:szCs w:val="17"/>
              </w:rPr>
              <w:t>200</w:t>
            </w:r>
          </w:p>
        </w:tc>
        <w:tc>
          <w:tcPr>
            <w:tcW w:w="2693" w:type="dxa"/>
          </w:tcPr>
          <w:p w:rsidR="00613209" w:rsidRPr="006606C3" w:rsidRDefault="00613209" w:rsidP="0099615D">
            <w:pPr>
              <w:spacing w:line="240" w:lineRule="auto"/>
              <w:jc w:val="center"/>
              <w:rPr>
                <w:sz w:val="17"/>
                <w:szCs w:val="17"/>
              </w:rPr>
            </w:pPr>
            <w:r w:rsidRPr="006606C3">
              <w:rPr>
                <w:sz w:val="17"/>
                <w:szCs w:val="17"/>
              </w:rPr>
              <w:t>1</w:t>
            </w:r>
            <w:r w:rsidR="0099615D">
              <w:rPr>
                <w:sz w:val="17"/>
                <w:szCs w:val="17"/>
              </w:rPr>
              <w:t>.</w:t>
            </w:r>
            <w:r w:rsidRPr="006606C3">
              <w:rPr>
                <w:sz w:val="17"/>
                <w:szCs w:val="17"/>
              </w:rPr>
              <w:t>2</w:t>
            </w:r>
          </w:p>
        </w:tc>
      </w:tr>
      <w:tr w:rsidR="00613209" w:rsidRPr="00543A25" w:rsidTr="007412F4">
        <w:trPr>
          <w:trHeight w:val="20"/>
        </w:trPr>
        <w:tc>
          <w:tcPr>
            <w:tcW w:w="2835" w:type="dxa"/>
          </w:tcPr>
          <w:p w:rsidR="00613209" w:rsidRPr="006606C3" w:rsidRDefault="00613209" w:rsidP="00613209">
            <w:pPr>
              <w:spacing w:line="240" w:lineRule="auto"/>
              <w:jc w:val="center"/>
              <w:rPr>
                <w:sz w:val="17"/>
                <w:szCs w:val="17"/>
              </w:rPr>
            </w:pPr>
            <w:r w:rsidRPr="006606C3">
              <w:rPr>
                <w:sz w:val="17"/>
                <w:szCs w:val="17"/>
              </w:rPr>
              <w:t>10</w:t>
            </w:r>
          </w:p>
        </w:tc>
        <w:tc>
          <w:tcPr>
            <w:tcW w:w="1419" w:type="dxa"/>
          </w:tcPr>
          <w:p w:rsidR="00613209" w:rsidRPr="006606C3" w:rsidRDefault="00613209" w:rsidP="00613209">
            <w:pPr>
              <w:spacing w:line="240" w:lineRule="auto"/>
              <w:jc w:val="center"/>
              <w:rPr>
                <w:sz w:val="17"/>
                <w:szCs w:val="17"/>
              </w:rPr>
            </w:pPr>
            <w:r w:rsidRPr="006606C3">
              <w:rPr>
                <w:sz w:val="17"/>
                <w:szCs w:val="17"/>
              </w:rPr>
              <w:t>150</w:t>
            </w:r>
          </w:p>
        </w:tc>
        <w:tc>
          <w:tcPr>
            <w:tcW w:w="2693" w:type="dxa"/>
          </w:tcPr>
          <w:p w:rsidR="00613209" w:rsidRPr="006606C3" w:rsidRDefault="00613209" w:rsidP="0099615D">
            <w:pPr>
              <w:spacing w:line="240" w:lineRule="auto"/>
              <w:jc w:val="center"/>
              <w:rPr>
                <w:sz w:val="17"/>
                <w:szCs w:val="17"/>
              </w:rPr>
            </w:pPr>
            <w:r w:rsidRPr="006606C3">
              <w:rPr>
                <w:sz w:val="17"/>
                <w:szCs w:val="17"/>
              </w:rPr>
              <w:t>0</w:t>
            </w:r>
            <w:r w:rsidR="0099615D">
              <w:rPr>
                <w:sz w:val="17"/>
                <w:szCs w:val="17"/>
              </w:rPr>
              <w:t>.</w:t>
            </w:r>
            <w:r w:rsidRPr="006606C3">
              <w:rPr>
                <w:sz w:val="17"/>
                <w:szCs w:val="17"/>
              </w:rPr>
              <w:t>8</w:t>
            </w:r>
          </w:p>
        </w:tc>
      </w:tr>
    </w:tbl>
    <w:p w:rsidR="00613209" w:rsidRPr="0099615D" w:rsidRDefault="0099615D" w:rsidP="00DF0E86">
      <w:pPr>
        <w:spacing w:before="120" w:line="240" w:lineRule="auto"/>
        <w:ind w:firstLine="0"/>
      </w:pPr>
      <w:r w:rsidRPr="0099615D">
        <w:t>These compositions are appropriate as a heat-insulating part (</w:t>
      </w:r>
      <w:r>
        <w:t>c</w:t>
      </w:r>
      <w:r w:rsidRPr="0099615D">
        <w:t>entral) in three-layer composite products, which must have a low density, heat-protective qualities and adhesion of foam mass with granules.</w:t>
      </w:r>
    </w:p>
    <w:p w:rsidR="0099615D" w:rsidRPr="0099615D" w:rsidRDefault="0099615D" w:rsidP="0099615D">
      <w:pPr>
        <w:widowControl w:val="0"/>
        <w:kinsoku w:val="0"/>
        <w:spacing w:line="240" w:lineRule="auto"/>
        <w:contextualSpacing/>
      </w:pPr>
      <w:r>
        <w:t>E</w:t>
      </w:r>
      <w:r w:rsidRPr="0099615D">
        <w:t>xpanded polystyrene granules together with foam mass can provide an effective combined structure with a low density.</w:t>
      </w:r>
    </w:p>
    <w:p w:rsidR="00613209" w:rsidRPr="0099615D" w:rsidRDefault="0099615D" w:rsidP="0099615D">
      <w:pPr>
        <w:widowControl w:val="0"/>
        <w:kinsoku w:val="0"/>
        <w:spacing w:line="240" w:lineRule="auto"/>
        <w:contextualSpacing/>
      </w:pPr>
      <w:r w:rsidRPr="0099615D">
        <w:t xml:space="preserve">For the formation of low-density magnesia compositions, a combination of </w:t>
      </w:r>
      <w:proofErr w:type="spellStart"/>
      <w:r w:rsidRPr="0099615D">
        <w:t>porization</w:t>
      </w:r>
      <w:proofErr w:type="spellEnd"/>
      <w:r w:rsidRPr="0099615D">
        <w:t xml:space="preserve"> methods is proposed (table 3).</w:t>
      </w:r>
    </w:p>
    <w:p w:rsidR="00613209" w:rsidRPr="0099615D" w:rsidRDefault="0099615D" w:rsidP="00DF0E86">
      <w:pPr>
        <w:spacing w:before="240" w:after="120" w:line="220" w:lineRule="atLeast"/>
        <w:ind w:firstLine="0"/>
        <w:jc w:val="center"/>
        <w:rPr>
          <w:color w:val="1D1B11" w:themeColor="background2" w:themeShade="1A"/>
          <w:sz w:val="18"/>
          <w:szCs w:val="18"/>
        </w:rPr>
      </w:pPr>
      <w:proofErr w:type="gramStart"/>
      <w:r>
        <w:rPr>
          <w:b/>
          <w:color w:val="1D1B11" w:themeColor="background2" w:themeShade="1A"/>
          <w:sz w:val="18"/>
          <w:szCs w:val="18"/>
        </w:rPr>
        <w:t>Table</w:t>
      </w:r>
      <w:r w:rsidR="00613209" w:rsidRPr="0099615D">
        <w:rPr>
          <w:b/>
          <w:color w:val="1D1B11" w:themeColor="background2" w:themeShade="1A"/>
          <w:sz w:val="18"/>
          <w:szCs w:val="18"/>
        </w:rPr>
        <w:t xml:space="preserve"> 3</w:t>
      </w:r>
      <w:r w:rsidR="00A32E5D" w:rsidRPr="0099615D">
        <w:rPr>
          <w:b/>
          <w:color w:val="1D1B11" w:themeColor="background2" w:themeShade="1A"/>
          <w:sz w:val="18"/>
          <w:szCs w:val="18"/>
        </w:rPr>
        <w:t>.</w:t>
      </w:r>
      <w:proofErr w:type="gramEnd"/>
      <w:r w:rsidR="00A32E5D" w:rsidRPr="0099615D">
        <w:rPr>
          <w:b/>
          <w:color w:val="1D1B11" w:themeColor="background2" w:themeShade="1A"/>
          <w:sz w:val="18"/>
          <w:szCs w:val="18"/>
        </w:rPr>
        <w:t xml:space="preserve"> </w:t>
      </w:r>
      <w:proofErr w:type="gramStart"/>
      <w:r w:rsidRPr="0099615D">
        <w:rPr>
          <w:color w:val="1D1B11" w:themeColor="background2" w:themeShade="1A"/>
          <w:sz w:val="18"/>
          <w:szCs w:val="18"/>
        </w:rPr>
        <w:t>Comparative characteristics of magnesia compositions.</w:t>
      </w:r>
      <w:proofErr w:type="gramEnd"/>
    </w:p>
    <w:tbl>
      <w:tblPr>
        <w:tblW w:w="4770" w:type="pct"/>
        <w:jc w:val="center"/>
        <w:tblInd w:w="108" w:type="dxa"/>
        <w:tbl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insideH w:val="single" w:sz="4" w:space="0" w:color="1D1B11" w:themeColor="background2" w:themeShade="1A"/>
          <w:insideV w:val="single" w:sz="4" w:space="0" w:color="1D1B11" w:themeColor="background2" w:themeShade="1A"/>
        </w:tblBorders>
        <w:tblLayout w:type="fixed"/>
        <w:tblLook w:val="04A0" w:firstRow="1" w:lastRow="0" w:firstColumn="1" w:lastColumn="0" w:noHBand="0" w:noVBand="1"/>
      </w:tblPr>
      <w:tblGrid>
        <w:gridCol w:w="3261"/>
        <w:gridCol w:w="850"/>
        <w:gridCol w:w="1701"/>
        <w:gridCol w:w="992"/>
      </w:tblGrid>
      <w:tr w:rsidR="00613209" w:rsidRPr="00543A25" w:rsidTr="00570CE4">
        <w:trPr>
          <w:trHeight w:val="20"/>
          <w:jc w:val="center"/>
        </w:trPr>
        <w:tc>
          <w:tcPr>
            <w:tcW w:w="3261" w:type="dxa"/>
            <w:vAlign w:val="center"/>
          </w:tcPr>
          <w:p w:rsidR="00613209" w:rsidRPr="00A32E5D" w:rsidRDefault="00F857F3" w:rsidP="00A32E5D">
            <w:pPr>
              <w:spacing w:line="240" w:lineRule="auto"/>
              <w:ind w:firstLine="0"/>
              <w:jc w:val="center"/>
              <w:rPr>
                <w:color w:val="1D1B11" w:themeColor="background2" w:themeShade="1A"/>
                <w:sz w:val="17"/>
                <w:szCs w:val="17"/>
              </w:rPr>
            </w:pPr>
            <w:r w:rsidRPr="00F857F3">
              <w:rPr>
                <w:color w:val="1D1B11" w:themeColor="background2" w:themeShade="1A"/>
                <w:sz w:val="17"/>
                <w:szCs w:val="17"/>
              </w:rPr>
              <w:t>Method for forming a porous structure</w:t>
            </w:r>
          </w:p>
        </w:tc>
        <w:tc>
          <w:tcPr>
            <w:tcW w:w="850" w:type="dxa"/>
            <w:vAlign w:val="center"/>
          </w:tcPr>
          <w:p w:rsidR="00613209" w:rsidRPr="00A32E5D" w:rsidRDefault="00F857F3" w:rsidP="00A32E5D">
            <w:pPr>
              <w:spacing w:line="240" w:lineRule="auto"/>
              <w:ind w:right="-108" w:firstLine="0"/>
              <w:jc w:val="center"/>
              <w:rPr>
                <w:color w:val="1D1B11" w:themeColor="background2" w:themeShade="1A"/>
                <w:sz w:val="17"/>
                <w:szCs w:val="17"/>
              </w:rPr>
            </w:pPr>
            <w:r>
              <w:rPr>
                <w:color w:val="1D1B11" w:themeColor="background2" w:themeShade="1A"/>
                <w:sz w:val="17"/>
                <w:szCs w:val="17"/>
              </w:rPr>
              <w:t>Density</w:t>
            </w:r>
            <w:r w:rsidR="00613209" w:rsidRPr="00A32E5D">
              <w:rPr>
                <w:color w:val="1D1B11" w:themeColor="background2" w:themeShade="1A"/>
                <w:sz w:val="17"/>
                <w:szCs w:val="17"/>
              </w:rPr>
              <w:t xml:space="preserve">, </w:t>
            </w:r>
          </w:p>
          <w:p w:rsidR="00613209" w:rsidRPr="00A32E5D" w:rsidRDefault="00F857F3" w:rsidP="00F857F3">
            <w:pPr>
              <w:spacing w:line="240" w:lineRule="auto"/>
              <w:ind w:right="-108" w:firstLine="0"/>
              <w:jc w:val="center"/>
              <w:rPr>
                <w:color w:val="1D1B11" w:themeColor="background2" w:themeShade="1A"/>
                <w:sz w:val="17"/>
                <w:szCs w:val="17"/>
                <w:vertAlign w:val="superscript"/>
              </w:rPr>
            </w:pPr>
            <w:r>
              <w:rPr>
                <w:color w:val="1D1B11" w:themeColor="background2" w:themeShade="1A"/>
                <w:sz w:val="17"/>
                <w:szCs w:val="17"/>
              </w:rPr>
              <w:t>kg</w:t>
            </w:r>
            <w:r w:rsidR="00613209" w:rsidRPr="00A32E5D">
              <w:rPr>
                <w:color w:val="1D1B11" w:themeColor="background2" w:themeShade="1A"/>
                <w:sz w:val="17"/>
                <w:szCs w:val="17"/>
              </w:rPr>
              <w:t>/</w:t>
            </w:r>
            <w:r>
              <w:rPr>
                <w:color w:val="1D1B11" w:themeColor="background2" w:themeShade="1A"/>
                <w:sz w:val="17"/>
                <w:szCs w:val="17"/>
              </w:rPr>
              <w:t>m</w:t>
            </w:r>
            <w:r w:rsidR="00613209" w:rsidRPr="00A32E5D">
              <w:rPr>
                <w:color w:val="1D1B11" w:themeColor="background2" w:themeShade="1A"/>
                <w:sz w:val="17"/>
                <w:szCs w:val="17"/>
                <w:vertAlign w:val="superscript"/>
              </w:rPr>
              <w:t>3</w:t>
            </w:r>
          </w:p>
        </w:tc>
        <w:tc>
          <w:tcPr>
            <w:tcW w:w="1701" w:type="dxa"/>
            <w:vAlign w:val="center"/>
          </w:tcPr>
          <w:p w:rsidR="00613209" w:rsidRPr="00F857F3" w:rsidRDefault="00F857F3" w:rsidP="00570CE4">
            <w:pPr>
              <w:pStyle w:val="ac"/>
              <w:widowControl w:val="0"/>
              <w:spacing w:after="0" w:line="240" w:lineRule="auto"/>
              <w:ind w:left="0" w:right="-108" w:firstLine="34"/>
              <w:jc w:val="center"/>
              <w:rPr>
                <w:rFonts w:ascii="Times New Roman" w:hAnsi="Times New Roman"/>
                <w:color w:val="1D1B11" w:themeColor="background2" w:themeShade="1A"/>
                <w:sz w:val="17"/>
                <w:szCs w:val="17"/>
                <w:lang w:val="en-US"/>
              </w:rPr>
            </w:pPr>
            <w:r w:rsidRPr="00F857F3">
              <w:rPr>
                <w:rFonts w:ascii="Times New Roman" w:hAnsi="Times New Roman"/>
                <w:color w:val="1D1B11" w:themeColor="background2" w:themeShade="1A"/>
                <w:sz w:val="17"/>
                <w:szCs w:val="17"/>
                <w:lang w:val="en-US"/>
              </w:rPr>
              <w:t xml:space="preserve">Thermal </w:t>
            </w:r>
            <w:r>
              <w:rPr>
                <w:rFonts w:ascii="Times New Roman" w:hAnsi="Times New Roman"/>
                <w:color w:val="1D1B11" w:themeColor="background2" w:themeShade="1A"/>
                <w:sz w:val="17"/>
                <w:szCs w:val="17"/>
                <w:lang w:val="en-US"/>
              </w:rPr>
              <w:t>c</w:t>
            </w:r>
            <w:r w:rsidRPr="00F857F3">
              <w:rPr>
                <w:rFonts w:ascii="Times New Roman" w:hAnsi="Times New Roman"/>
                <w:color w:val="1D1B11" w:themeColor="background2" w:themeShade="1A"/>
                <w:sz w:val="17"/>
                <w:szCs w:val="17"/>
                <w:lang w:val="en-US"/>
              </w:rPr>
              <w:t>onductivity, W</w:t>
            </w:r>
            <w:r w:rsidR="00613209" w:rsidRPr="00F857F3">
              <w:rPr>
                <w:rFonts w:ascii="Times New Roman" w:hAnsi="Times New Roman"/>
                <w:color w:val="1D1B11" w:themeColor="background2" w:themeShade="1A"/>
                <w:sz w:val="17"/>
                <w:szCs w:val="17"/>
                <w:lang w:val="en-US"/>
              </w:rPr>
              <w:t>/(</w:t>
            </w:r>
            <w:r>
              <w:rPr>
                <w:rFonts w:ascii="Times New Roman" w:hAnsi="Times New Roman"/>
                <w:color w:val="1D1B11" w:themeColor="background2" w:themeShade="1A"/>
                <w:sz w:val="17"/>
                <w:szCs w:val="17"/>
                <w:lang w:val="en-US"/>
              </w:rPr>
              <w:t>m</w:t>
            </w:r>
            <w:r w:rsidR="00613209" w:rsidRPr="00F857F3">
              <w:rPr>
                <w:rFonts w:ascii="Times New Roman" w:hAnsi="Times New Roman"/>
                <w:color w:val="1D1B11" w:themeColor="background2" w:themeShade="1A"/>
                <w:sz w:val="17"/>
                <w:szCs w:val="17"/>
                <w:lang w:val="en-US"/>
              </w:rPr>
              <w:t>∙</w:t>
            </w:r>
            <w:r w:rsidR="00613209" w:rsidRPr="00F857F3">
              <w:rPr>
                <w:rFonts w:ascii="Times New Roman" w:hAnsi="Times New Roman"/>
                <w:color w:val="1D1B11" w:themeColor="background2" w:themeShade="1A"/>
                <w:sz w:val="17"/>
                <w:szCs w:val="17"/>
                <w:vertAlign w:val="superscript"/>
                <w:lang w:val="en-US"/>
              </w:rPr>
              <w:t>0</w:t>
            </w:r>
            <w:r w:rsidR="00613209" w:rsidRPr="00A32E5D">
              <w:rPr>
                <w:rFonts w:ascii="Times New Roman" w:hAnsi="Times New Roman"/>
                <w:color w:val="1D1B11" w:themeColor="background2" w:themeShade="1A"/>
                <w:sz w:val="17"/>
                <w:szCs w:val="17"/>
              </w:rPr>
              <w:t>С</w:t>
            </w:r>
            <w:r w:rsidR="00613209" w:rsidRPr="00F857F3">
              <w:rPr>
                <w:rFonts w:ascii="Times New Roman" w:hAnsi="Times New Roman"/>
                <w:color w:val="1D1B11" w:themeColor="background2" w:themeShade="1A"/>
                <w:sz w:val="17"/>
                <w:szCs w:val="17"/>
                <w:lang w:val="en-US"/>
              </w:rPr>
              <w:t>)</w:t>
            </w:r>
          </w:p>
        </w:tc>
        <w:tc>
          <w:tcPr>
            <w:tcW w:w="992" w:type="dxa"/>
            <w:vAlign w:val="center"/>
          </w:tcPr>
          <w:p w:rsidR="00570CE4" w:rsidRDefault="00F857F3" w:rsidP="00A32E5D">
            <w:pPr>
              <w:spacing w:line="240" w:lineRule="auto"/>
              <w:ind w:left="-108" w:right="-165" w:firstLine="0"/>
              <w:jc w:val="center"/>
              <w:rPr>
                <w:color w:val="1D1B11" w:themeColor="background2" w:themeShade="1A"/>
                <w:sz w:val="17"/>
                <w:szCs w:val="17"/>
                <w:lang w:val="ru-RU"/>
              </w:rPr>
            </w:pPr>
            <w:r w:rsidRPr="00F857F3">
              <w:rPr>
                <w:color w:val="1D1B11" w:themeColor="background2" w:themeShade="1A"/>
                <w:sz w:val="17"/>
                <w:szCs w:val="17"/>
              </w:rPr>
              <w:t xml:space="preserve">Compressive </w:t>
            </w:r>
          </w:p>
          <w:p w:rsidR="00613209" w:rsidRPr="00A32E5D" w:rsidRDefault="00F857F3" w:rsidP="00A32E5D">
            <w:pPr>
              <w:spacing w:line="240" w:lineRule="auto"/>
              <w:ind w:left="-108" w:right="-165" w:firstLine="0"/>
              <w:jc w:val="center"/>
              <w:rPr>
                <w:color w:val="1D1B11" w:themeColor="background2" w:themeShade="1A"/>
                <w:sz w:val="17"/>
                <w:szCs w:val="17"/>
              </w:rPr>
            </w:pPr>
            <w:r w:rsidRPr="00F857F3">
              <w:rPr>
                <w:color w:val="1D1B11" w:themeColor="background2" w:themeShade="1A"/>
                <w:sz w:val="17"/>
                <w:szCs w:val="17"/>
              </w:rPr>
              <w:t xml:space="preserve">strength, </w:t>
            </w:r>
            <w:proofErr w:type="spellStart"/>
            <w:r w:rsidRPr="00F857F3">
              <w:rPr>
                <w:color w:val="1D1B11" w:themeColor="background2" w:themeShade="1A"/>
                <w:sz w:val="17"/>
                <w:szCs w:val="17"/>
              </w:rPr>
              <w:t>MPa</w:t>
            </w:r>
            <w:proofErr w:type="spellEnd"/>
          </w:p>
        </w:tc>
      </w:tr>
      <w:tr w:rsidR="00613209" w:rsidRPr="00543A25" w:rsidTr="00570CE4">
        <w:trPr>
          <w:trHeight w:val="20"/>
          <w:jc w:val="center"/>
        </w:trPr>
        <w:tc>
          <w:tcPr>
            <w:tcW w:w="3261" w:type="dxa"/>
            <w:vAlign w:val="center"/>
          </w:tcPr>
          <w:p w:rsidR="00613209" w:rsidRPr="00A32E5D" w:rsidRDefault="00F857F3" w:rsidP="002111EC">
            <w:pPr>
              <w:spacing w:line="240" w:lineRule="auto"/>
              <w:ind w:left="34" w:firstLine="0"/>
              <w:jc w:val="left"/>
              <w:rPr>
                <w:color w:val="1D1B11" w:themeColor="background2" w:themeShade="1A"/>
                <w:sz w:val="17"/>
                <w:szCs w:val="17"/>
              </w:rPr>
            </w:pPr>
            <w:r>
              <w:rPr>
                <w:color w:val="1D1B11" w:themeColor="background2" w:themeShade="1A"/>
                <w:sz w:val="17"/>
                <w:szCs w:val="17"/>
              </w:rPr>
              <w:t>Foam formation</w:t>
            </w:r>
          </w:p>
        </w:tc>
        <w:tc>
          <w:tcPr>
            <w:tcW w:w="850" w:type="dxa"/>
            <w:vAlign w:val="center"/>
          </w:tcPr>
          <w:p w:rsidR="00613209" w:rsidRPr="00A32E5D" w:rsidRDefault="00613209" w:rsidP="00A32E5D">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525</w:t>
            </w:r>
          </w:p>
        </w:tc>
        <w:tc>
          <w:tcPr>
            <w:tcW w:w="1701" w:type="dxa"/>
            <w:vAlign w:val="center"/>
          </w:tcPr>
          <w:p w:rsidR="00613209" w:rsidRPr="00A32E5D" w:rsidRDefault="00613209" w:rsidP="00F857F3">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0</w:t>
            </w:r>
            <w:r w:rsidR="00F857F3">
              <w:rPr>
                <w:color w:val="1D1B11" w:themeColor="background2" w:themeShade="1A"/>
                <w:sz w:val="17"/>
                <w:szCs w:val="17"/>
              </w:rPr>
              <w:t>.</w:t>
            </w:r>
            <w:r w:rsidRPr="00A32E5D">
              <w:rPr>
                <w:color w:val="1D1B11" w:themeColor="background2" w:themeShade="1A"/>
                <w:sz w:val="17"/>
                <w:szCs w:val="17"/>
              </w:rPr>
              <w:t>07</w:t>
            </w:r>
          </w:p>
        </w:tc>
        <w:tc>
          <w:tcPr>
            <w:tcW w:w="992" w:type="dxa"/>
            <w:vAlign w:val="center"/>
          </w:tcPr>
          <w:p w:rsidR="00613209" w:rsidRPr="00A32E5D" w:rsidRDefault="00613209" w:rsidP="00F857F3">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4</w:t>
            </w:r>
            <w:r w:rsidR="00F857F3">
              <w:rPr>
                <w:color w:val="1D1B11" w:themeColor="background2" w:themeShade="1A"/>
                <w:sz w:val="17"/>
                <w:szCs w:val="17"/>
              </w:rPr>
              <w:t>.</w:t>
            </w:r>
            <w:r w:rsidRPr="00A32E5D">
              <w:rPr>
                <w:color w:val="1D1B11" w:themeColor="background2" w:themeShade="1A"/>
                <w:sz w:val="17"/>
                <w:szCs w:val="17"/>
              </w:rPr>
              <w:t>3</w:t>
            </w:r>
          </w:p>
        </w:tc>
      </w:tr>
      <w:tr w:rsidR="00613209" w:rsidRPr="00543A25" w:rsidTr="00570CE4">
        <w:trPr>
          <w:trHeight w:val="20"/>
          <w:jc w:val="center"/>
        </w:trPr>
        <w:tc>
          <w:tcPr>
            <w:tcW w:w="3261" w:type="dxa"/>
            <w:vAlign w:val="center"/>
          </w:tcPr>
          <w:p w:rsidR="00613209" w:rsidRPr="00A32E5D" w:rsidRDefault="00F857F3" w:rsidP="002111EC">
            <w:pPr>
              <w:spacing w:line="240" w:lineRule="auto"/>
              <w:ind w:left="34" w:firstLine="0"/>
              <w:jc w:val="left"/>
              <w:rPr>
                <w:color w:val="1D1B11" w:themeColor="background2" w:themeShade="1A"/>
                <w:sz w:val="17"/>
                <w:szCs w:val="17"/>
              </w:rPr>
            </w:pPr>
            <w:r>
              <w:rPr>
                <w:color w:val="1D1B11" w:themeColor="background2" w:themeShade="1A"/>
                <w:sz w:val="17"/>
                <w:szCs w:val="17"/>
              </w:rPr>
              <w:t>Gas formation</w:t>
            </w:r>
          </w:p>
        </w:tc>
        <w:tc>
          <w:tcPr>
            <w:tcW w:w="850" w:type="dxa"/>
            <w:vAlign w:val="center"/>
          </w:tcPr>
          <w:p w:rsidR="00613209" w:rsidRPr="00A32E5D" w:rsidRDefault="00613209" w:rsidP="00A32E5D">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650</w:t>
            </w:r>
          </w:p>
        </w:tc>
        <w:tc>
          <w:tcPr>
            <w:tcW w:w="1701" w:type="dxa"/>
            <w:vAlign w:val="center"/>
          </w:tcPr>
          <w:p w:rsidR="00613209" w:rsidRPr="00A32E5D" w:rsidRDefault="00613209" w:rsidP="00F857F3">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0</w:t>
            </w:r>
            <w:r w:rsidR="00F857F3">
              <w:rPr>
                <w:color w:val="1D1B11" w:themeColor="background2" w:themeShade="1A"/>
                <w:sz w:val="17"/>
                <w:szCs w:val="17"/>
              </w:rPr>
              <w:t>.</w:t>
            </w:r>
            <w:r w:rsidRPr="00A32E5D">
              <w:rPr>
                <w:color w:val="1D1B11" w:themeColor="background2" w:themeShade="1A"/>
                <w:sz w:val="17"/>
                <w:szCs w:val="17"/>
              </w:rPr>
              <w:t>09</w:t>
            </w:r>
          </w:p>
        </w:tc>
        <w:tc>
          <w:tcPr>
            <w:tcW w:w="992" w:type="dxa"/>
            <w:vAlign w:val="center"/>
          </w:tcPr>
          <w:p w:rsidR="00613209" w:rsidRPr="00A32E5D" w:rsidRDefault="00613209" w:rsidP="00F857F3">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4</w:t>
            </w:r>
            <w:r w:rsidR="00F857F3">
              <w:rPr>
                <w:color w:val="1D1B11" w:themeColor="background2" w:themeShade="1A"/>
                <w:sz w:val="17"/>
                <w:szCs w:val="17"/>
              </w:rPr>
              <w:t>.</w:t>
            </w:r>
            <w:r w:rsidRPr="00A32E5D">
              <w:rPr>
                <w:color w:val="1D1B11" w:themeColor="background2" w:themeShade="1A"/>
                <w:sz w:val="17"/>
                <w:szCs w:val="17"/>
              </w:rPr>
              <w:t>6</w:t>
            </w:r>
          </w:p>
        </w:tc>
      </w:tr>
      <w:tr w:rsidR="00613209" w:rsidRPr="00543A25" w:rsidTr="00570CE4">
        <w:trPr>
          <w:trHeight w:val="20"/>
          <w:jc w:val="center"/>
        </w:trPr>
        <w:tc>
          <w:tcPr>
            <w:tcW w:w="3261" w:type="dxa"/>
            <w:vAlign w:val="center"/>
          </w:tcPr>
          <w:p w:rsidR="00613209" w:rsidRPr="00A32E5D" w:rsidRDefault="00F857F3" w:rsidP="002111EC">
            <w:pPr>
              <w:spacing w:line="240" w:lineRule="auto"/>
              <w:ind w:left="34" w:firstLine="0"/>
              <w:jc w:val="left"/>
              <w:rPr>
                <w:color w:val="1D1B11" w:themeColor="background2" w:themeShade="1A"/>
                <w:sz w:val="17"/>
                <w:szCs w:val="17"/>
              </w:rPr>
            </w:pPr>
            <w:r>
              <w:rPr>
                <w:color w:val="1D1B11" w:themeColor="background2" w:themeShade="1A"/>
                <w:sz w:val="17"/>
                <w:szCs w:val="17"/>
              </w:rPr>
              <w:t>Foam formation</w:t>
            </w:r>
            <w:r w:rsidR="00613209" w:rsidRPr="00A32E5D">
              <w:rPr>
                <w:color w:val="1D1B11" w:themeColor="background2" w:themeShade="1A"/>
                <w:sz w:val="17"/>
                <w:szCs w:val="17"/>
              </w:rPr>
              <w:t xml:space="preserve"> + </w:t>
            </w:r>
            <w:r>
              <w:rPr>
                <w:color w:val="1D1B11" w:themeColor="background2" w:themeShade="1A"/>
                <w:sz w:val="17"/>
                <w:szCs w:val="17"/>
              </w:rPr>
              <w:t>gas formation</w:t>
            </w:r>
          </w:p>
        </w:tc>
        <w:tc>
          <w:tcPr>
            <w:tcW w:w="850" w:type="dxa"/>
            <w:vAlign w:val="center"/>
          </w:tcPr>
          <w:p w:rsidR="00613209" w:rsidRPr="00A32E5D" w:rsidRDefault="00613209" w:rsidP="00A32E5D">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390</w:t>
            </w:r>
          </w:p>
        </w:tc>
        <w:tc>
          <w:tcPr>
            <w:tcW w:w="1701" w:type="dxa"/>
            <w:vAlign w:val="center"/>
          </w:tcPr>
          <w:p w:rsidR="00613209" w:rsidRPr="00A32E5D" w:rsidRDefault="00613209" w:rsidP="00F857F3">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0</w:t>
            </w:r>
            <w:r w:rsidR="00F857F3">
              <w:rPr>
                <w:color w:val="1D1B11" w:themeColor="background2" w:themeShade="1A"/>
                <w:sz w:val="17"/>
                <w:szCs w:val="17"/>
              </w:rPr>
              <w:t>.</w:t>
            </w:r>
            <w:r w:rsidRPr="00A32E5D">
              <w:rPr>
                <w:color w:val="1D1B11" w:themeColor="background2" w:themeShade="1A"/>
                <w:sz w:val="17"/>
                <w:szCs w:val="17"/>
              </w:rPr>
              <w:t>05</w:t>
            </w:r>
          </w:p>
        </w:tc>
        <w:tc>
          <w:tcPr>
            <w:tcW w:w="992" w:type="dxa"/>
            <w:vAlign w:val="center"/>
          </w:tcPr>
          <w:p w:rsidR="00613209" w:rsidRPr="00A32E5D" w:rsidRDefault="00613209" w:rsidP="00F857F3">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2</w:t>
            </w:r>
            <w:r w:rsidR="00F857F3">
              <w:rPr>
                <w:color w:val="1D1B11" w:themeColor="background2" w:themeShade="1A"/>
                <w:sz w:val="17"/>
                <w:szCs w:val="17"/>
              </w:rPr>
              <w:t>.</w:t>
            </w:r>
            <w:r w:rsidRPr="00A32E5D">
              <w:rPr>
                <w:color w:val="1D1B11" w:themeColor="background2" w:themeShade="1A"/>
                <w:sz w:val="17"/>
                <w:szCs w:val="17"/>
              </w:rPr>
              <w:t>2</w:t>
            </w:r>
          </w:p>
        </w:tc>
      </w:tr>
      <w:tr w:rsidR="00613209" w:rsidRPr="00543A25" w:rsidTr="00570CE4">
        <w:trPr>
          <w:trHeight w:val="20"/>
          <w:jc w:val="center"/>
        </w:trPr>
        <w:tc>
          <w:tcPr>
            <w:tcW w:w="3261" w:type="dxa"/>
            <w:vAlign w:val="center"/>
          </w:tcPr>
          <w:p w:rsidR="00613209" w:rsidRPr="00A32E5D" w:rsidRDefault="00F857F3" w:rsidP="002111EC">
            <w:pPr>
              <w:spacing w:line="240" w:lineRule="auto"/>
              <w:ind w:left="34" w:firstLine="0"/>
              <w:jc w:val="left"/>
              <w:rPr>
                <w:color w:val="1D1B11" w:themeColor="background2" w:themeShade="1A"/>
                <w:sz w:val="17"/>
                <w:szCs w:val="17"/>
              </w:rPr>
            </w:pPr>
            <w:r>
              <w:rPr>
                <w:color w:val="1D1B11" w:themeColor="background2" w:themeShade="1A"/>
                <w:sz w:val="17"/>
                <w:szCs w:val="17"/>
              </w:rPr>
              <w:t>Foam formation</w:t>
            </w:r>
            <w:r w:rsidR="00613209" w:rsidRPr="00A32E5D">
              <w:rPr>
                <w:color w:val="1D1B11" w:themeColor="background2" w:themeShade="1A"/>
                <w:sz w:val="17"/>
                <w:szCs w:val="17"/>
              </w:rPr>
              <w:t xml:space="preserve"> + </w:t>
            </w:r>
            <w:r>
              <w:rPr>
                <w:color w:val="1D1B11" w:themeColor="background2" w:themeShade="1A"/>
                <w:sz w:val="17"/>
                <w:szCs w:val="17"/>
              </w:rPr>
              <w:t>microsphere</w:t>
            </w:r>
          </w:p>
        </w:tc>
        <w:tc>
          <w:tcPr>
            <w:tcW w:w="850" w:type="dxa"/>
            <w:vAlign w:val="center"/>
          </w:tcPr>
          <w:p w:rsidR="00613209" w:rsidRPr="00A32E5D" w:rsidRDefault="00613209" w:rsidP="00A32E5D">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435</w:t>
            </w:r>
          </w:p>
        </w:tc>
        <w:tc>
          <w:tcPr>
            <w:tcW w:w="1701" w:type="dxa"/>
            <w:vAlign w:val="center"/>
          </w:tcPr>
          <w:p w:rsidR="00613209" w:rsidRPr="00A32E5D" w:rsidRDefault="00613209" w:rsidP="00F857F3">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0</w:t>
            </w:r>
            <w:r w:rsidR="00F857F3">
              <w:rPr>
                <w:color w:val="1D1B11" w:themeColor="background2" w:themeShade="1A"/>
                <w:sz w:val="17"/>
                <w:szCs w:val="17"/>
              </w:rPr>
              <w:t>.</w:t>
            </w:r>
            <w:r w:rsidRPr="00A32E5D">
              <w:rPr>
                <w:color w:val="1D1B11" w:themeColor="background2" w:themeShade="1A"/>
                <w:sz w:val="17"/>
                <w:szCs w:val="17"/>
              </w:rPr>
              <w:t>08</w:t>
            </w:r>
          </w:p>
        </w:tc>
        <w:tc>
          <w:tcPr>
            <w:tcW w:w="992" w:type="dxa"/>
            <w:vAlign w:val="center"/>
          </w:tcPr>
          <w:p w:rsidR="00613209" w:rsidRPr="00A32E5D" w:rsidRDefault="00613209" w:rsidP="00F857F3">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3</w:t>
            </w:r>
            <w:r w:rsidR="00F857F3">
              <w:rPr>
                <w:color w:val="1D1B11" w:themeColor="background2" w:themeShade="1A"/>
                <w:sz w:val="17"/>
                <w:szCs w:val="17"/>
              </w:rPr>
              <w:t>.</w:t>
            </w:r>
            <w:r w:rsidRPr="00A32E5D">
              <w:rPr>
                <w:color w:val="1D1B11" w:themeColor="background2" w:themeShade="1A"/>
                <w:sz w:val="17"/>
                <w:szCs w:val="17"/>
              </w:rPr>
              <w:t>6</w:t>
            </w:r>
          </w:p>
        </w:tc>
      </w:tr>
      <w:tr w:rsidR="00613209" w:rsidRPr="00543A25" w:rsidTr="00570CE4">
        <w:trPr>
          <w:trHeight w:val="20"/>
          <w:jc w:val="center"/>
        </w:trPr>
        <w:tc>
          <w:tcPr>
            <w:tcW w:w="3261" w:type="dxa"/>
            <w:vAlign w:val="center"/>
          </w:tcPr>
          <w:p w:rsidR="00613209" w:rsidRPr="00A32E5D" w:rsidRDefault="00F857F3" w:rsidP="002111EC">
            <w:pPr>
              <w:spacing w:line="240" w:lineRule="auto"/>
              <w:ind w:left="34" w:right="-108" w:firstLine="0"/>
              <w:jc w:val="left"/>
              <w:rPr>
                <w:color w:val="1D1B11" w:themeColor="background2" w:themeShade="1A"/>
                <w:sz w:val="17"/>
                <w:szCs w:val="17"/>
              </w:rPr>
            </w:pPr>
            <w:r>
              <w:rPr>
                <w:color w:val="1D1B11" w:themeColor="background2" w:themeShade="1A"/>
                <w:sz w:val="17"/>
                <w:szCs w:val="17"/>
              </w:rPr>
              <w:t>Foam formation</w:t>
            </w:r>
            <w:r w:rsidR="00613209" w:rsidRPr="00A32E5D">
              <w:rPr>
                <w:color w:val="1D1B11" w:themeColor="background2" w:themeShade="1A"/>
                <w:sz w:val="17"/>
                <w:szCs w:val="17"/>
              </w:rPr>
              <w:t xml:space="preserve"> +</w:t>
            </w:r>
          </w:p>
          <w:p w:rsidR="00613209" w:rsidRPr="00A32E5D" w:rsidRDefault="00613209" w:rsidP="002111EC">
            <w:pPr>
              <w:spacing w:line="240" w:lineRule="auto"/>
              <w:ind w:left="34" w:firstLine="0"/>
              <w:jc w:val="left"/>
              <w:rPr>
                <w:color w:val="1D1B11" w:themeColor="background2" w:themeShade="1A"/>
                <w:sz w:val="17"/>
                <w:szCs w:val="17"/>
              </w:rPr>
            </w:pPr>
            <w:r w:rsidRPr="00A32E5D">
              <w:rPr>
                <w:color w:val="1D1B11" w:themeColor="background2" w:themeShade="1A"/>
                <w:sz w:val="17"/>
                <w:szCs w:val="17"/>
              </w:rPr>
              <w:t xml:space="preserve"> </w:t>
            </w:r>
            <w:r w:rsidR="00F857F3">
              <w:rPr>
                <w:color w:val="1D1B11" w:themeColor="background2" w:themeShade="1A"/>
                <w:sz w:val="17"/>
                <w:szCs w:val="17"/>
              </w:rPr>
              <w:t>expanded polystyrene granules</w:t>
            </w:r>
          </w:p>
        </w:tc>
        <w:tc>
          <w:tcPr>
            <w:tcW w:w="850" w:type="dxa"/>
            <w:vAlign w:val="center"/>
          </w:tcPr>
          <w:p w:rsidR="00613209" w:rsidRPr="00A32E5D" w:rsidRDefault="00613209" w:rsidP="00A32E5D">
            <w:pPr>
              <w:spacing w:line="240" w:lineRule="auto"/>
              <w:ind w:firstLine="0"/>
              <w:jc w:val="center"/>
              <w:rPr>
                <w:color w:val="1D1B11" w:themeColor="background2" w:themeShade="1A"/>
                <w:sz w:val="17"/>
                <w:szCs w:val="17"/>
              </w:rPr>
            </w:pPr>
            <w:r w:rsidRPr="00A32E5D">
              <w:rPr>
                <w:color w:val="1D1B11" w:themeColor="background2" w:themeShade="1A"/>
                <w:sz w:val="17"/>
                <w:szCs w:val="17"/>
              </w:rPr>
              <w:t>285</w:t>
            </w:r>
          </w:p>
        </w:tc>
        <w:tc>
          <w:tcPr>
            <w:tcW w:w="1701" w:type="dxa"/>
            <w:vAlign w:val="center"/>
          </w:tcPr>
          <w:p w:rsidR="00613209" w:rsidRPr="00A32E5D" w:rsidRDefault="00613209" w:rsidP="00F857F3">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0</w:t>
            </w:r>
            <w:r w:rsidR="00F857F3">
              <w:rPr>
                <w:color w:val="1D1B11" w:themeColor="background2" w:themeShade="1A"/>
                <w:sz w:val="17"/>
                <w:szCs w:val="17"/>
              </w:rPr>
              <w:t>.</w:t>
            </w:r>
            <w:r w:rsidRPr="00A32E5D">
              <w:rPr>
                <w:color w:val="1D1B11" w:themeColor="background2" w:themeShade="1A"/>
                <w:sz w:val="17"/>
                <w:szCs w:val="17"/>
              </w:rPr>
              <w:t>05</w:t>
            </w:r>
          </w:p>
        </w:tc>
        <w:tc>
          <w:tcPr>
            <w:tcW w:w="992" w:type="dxa"/>
            <w:vAlign w:val="center"/>
          </w:tcPr>
          <w:p w:rsidR="00613209" w:rsidRPr="00A32E5D" w:rsidRDefault="00613209" w:rsidP="00F857F3">
            <w:pPr>
              <w:spacing w:line="240" w:lineRule="auto"/>
              <w:ind w:right="-108" w:firstLine="0"/>
              <w:jc w:val="center"/>
              <w:rPr>
                <w:color w:val="1D1B11" w:themeColor="background2" w:themeShade="1A"/>
                <w:sz w:val="17"/>
                <w:szCs w:val="17"/>
              </w:rPr>
            </w:pPr>
            <w:r w:rsidRPr="00A32E5D">
              <w:rPr>
                <w:color w:val="1D1B11" w:themeColor="background2" w:themeShade="1A"/>
                <w:sz w:val="17"/>
                <w:szCs w:val="17"/>
              </w:rPr>
              <w:t>1</w:t>
            </w:r>
            <w:r w:rsidR="00F857F3">
              <w:rPr>
                <w:color w:val="1D1B11" w:themeColor="background2" w:themeShade="1A"/>
                <w:sz w:val="17"/>
                <w:szCs w:val="17"/>
              </w:rPr>
              <w:t>.</w:t>
            </w:r>
            <w:r w:rsidRPr="00A32E5D">
              <w:rPr>
                <w:color w:val="1D1B11" w:themeColor="background2" w:themeShade="1A"/>
                <w:sz w:val="17"/>
                <w:szCs w:val="17"/>
              </w:rPr>
              <w:t>0</w:t>
            </w:r>
          </w:p>
        </w:tc>
      </w:tr>
      <w:tr w:rsidR="00613209" w:rsidRPr="00543A25" w:rsidTr="00570CE4">
        <w:trPr>
          <w:trHeight w:val="20"/>
          <w:jc w:val="center"/>
        </w:trPr>
        <w:tc>
          <w:tcPr>
            <w:tcW w:w="3261" w:type="dxa"/>
            <w:vAlign w:val="center"/>
          </w:tcPr>
          <w:p w:rsidR="00613209" w:rsidRPr="00F857F3" w:rsidRDefault="00F857F3" w:rsidP="002111EC">
            <w:pPr>
              <w:spacing w:line="240" w:lineRule="auto"/>
              <w:ind w:left="34" w:firstLine="0"/>
              <w:jc w:val="left"/>
              <w:rPr>
                <w:color w:val="1D1B11" w:themeColor="background2" w:themeShade="1A"/>
                <w:sz w:val="17"/>
                <w:szCs w:val="17"/>
              </w:rPr>
            </w:pPr>
            <w:r>
              <w:rPr>
                <w:color w:val="1D1B11" w:themeColor="background2" w:themeShade="1A"/>
                <w:sz w:val="17"/>
                <w:szCs w:val="17"/>
              </w:rPr>
              <w:t>Foam formation</w:t>
            </w:r>
            <w:r w:rsidR="00613209" w:rsidRPr="00F857F3">
              <w:rPr>
                <w:color w:val="1D1B11" w:themeColor="background2" w:themeShade="1A"/>
                <w:sz w:val="17"/>
                <w:szCs w:val="17"/>
              </w:rPr>
              <w:t xml:space="preserve"> + </w:t>
            </w:r>
          </w:p>
          <w:p w:rsidR="00613209" w:rsidRPr="00F857F3" w:rsidRDefault="00F857F3" w:rsidP="002111EC">
            <w:pPr>
              <w:spacing w:line="240" w:lineRule="auto"/>
              <w:ind w:left="34" w:firstLine="0"/>
              <w:jc w:val="left"/>
              <w:rPr>
                <w:color w:val="1D1B11" w:themeColor="background2" w:themeShade="1A"/>
                <w:sz w:val="17"/>
                <w:szCs w:val="17"/>
              </w:rPr>
            </w:pPr>
            <w:r>
              <w:rPr>
                <w:sz w:val="17"/>
                <w:szCs w:val="17"/>
              </w:rPr>
              <w:t xml:space="preserve">swelling granules on the liquid glass basis </w:t>
            </w:r>
          </w:p>
        </w:tc>
        <w:tc>
          <w:tcPr>
            <w:tcW w:w="850" w:type="dxa"/>
            <w:vAlign w:val="center"/>
          </w:tcPr>
          <w:p w:rsidR="00613209" w:rsidRPr="00A32E5D" w:rsidRDefault="00613209" w:rsidP="00A32E5D">
            <w:pPr>
              <w:spacing w:line="240" w:lineRule="auto"/>
              <w:ind w:firstLine="0"/>
              <w:jc w:val="center"/>
              <w:rPr>
                <w:color w:val="1D1B11" w:themeColor="background2" w:themeShade="1A"/>
                <w:sz w:val="17"/>
                <w:szCs w:val="17"/>
              </w:rPr>
            </w:pPr>
            <w:r w:rsidRPr="00A32E5D">
              <w:rPr>
                <w:color w:val="1D1B11" w:themeColor="background2" w:themeShade="1A"/>
                <w:sz w:val="17"/>
                <w:szCs w:val="17"/>
              </w:rPr>
              <w:t>350</w:t>
            </w:r>
          </w:p>
        </w:tc>
        <w:tc>
          <w:tcPr>
            <w:tcW w:w="1701" w:type="dxa"/>
            <w:vAlign w:val="center"/>
          </w:tcPr>
          <w:p w:rsidR="00613209" w:rsidRPr="00A32E5D" w:rsidRDefault="00613209" w:rsidP="00F857F3">
            <w:pPr>
              <w:spacing w:line="240" w:lineRule="auto"/>
              <w:ind w:firstLine="0"/>
              <w:jc w:val="center"/>
              <w:rPr>
                <w:color w:val="1D1B11" w:themeColor="background2" w:themeShade="1A"/>
                <w:sz w:val="17"/>
                <w:szCs w:val="17"/>
              </w:rPr>
            </w:pPr>
            <w:r w:rsidRPr="00A32E5D">
              <w:rPr>
                <w:color w:val="1D1B11" w:themeColor="background2" w:themeShade="1A"/>
                <w:sz w:val="17"/>
                <w:szCs w:val="17"/>
              </w:rPr>
              <w:t>0</w:t>
            </w:r>
            <w:r w:rsidR="00F857F3">
              <w:rPr>
                <w:color w:val="1D1B11" w:themeColor="background2" w:themeShade="1A"/>
                <w:sz w:val="17"/>
                <w:szCs w:val="17"/>
              </w:rPr>
              <w:t>.</w:t>
            </w:r>
            <w:r w:rsidRPr="00A32E5D">
              <w:rPr>
                <w:color w:val="1D1B11" w:themeColor="background2" w:themeShade="1A"/>
                <w:sz w:val="17"/>
                <w:szCs w:val="17"/>
              </w:rPr>
              <w:t>05</w:t>
            </w:r>
          </w:p>
        </w:tc>
        <w:tc>
          <w:tcPr>
            <w:tcW w:w="992" w:type="dxa"/>
            <w:vAlign w:val="center"/>
          </w:tcPr>
          <w:p w:rsidR="00613209" w:rsidRPr="00A32E5D" w:rsidRDefault="00613209" w:rsidP="00F857F3">
            <w:pPr>
              <w:spacing w:line="240" w:lineRule="auto"/>
              <w:ind w:firstLine="0"/>
              <w:jc w:val="center"/>
              <w:rPr>
                <w:color w:val="1D1B11" w:themeColor="background2" w:themeShade="1A"/>
                <w:sz w:val="17"/>
                <w:szCs w:val="17"/>
              </w:rPr>
            </w:pPr>
            <w:r w:rsidRPr="00A32E5D">
              <w:rPr>
                <w:color w:val="1D1B11" w:themeColor="background2" w:themeShade="1A"/>
                <w:sz w:val="17"/>
                <w:szCs w:val="17"/>
              </w:rPr>
              <w:t>3</w:t>
            </w:r>
            <w:r w:rsidR="00F857F3">
              <w:rPr>
                <w:color w:val="1D1B11" w:themeColor="background2" w:themeShade="1A"/>
                <w:sz w:val="17"/>
                <w:szCs w:val="17"/>
              </w:rPr>
              <w:t>.</w:t>
            </w:r>
            <w:r w:rsidRPr="00A32E5D">
              <w:rPr>
                <w:color w:val="1D1B11" w:themeColor="background2" w:themeShade="1A"/>
                <w:sz w:val="17"/>
                <w:szCs w:val="17"/>
              </w:rPr>
              <w:t>2</w:t>
            </w:r>
          </w:p>
        </w:tc>
      </w:tr>
      <w:tr w:rsidR="00613209" w:rsidRPr="00543A25" w:rsidTr="00570CE4">
        <w:trPr>
          <w:trHeight w:val="20"/>
          <w:jc w:val="center"/>
        </w:trPr>
        <w:tc>
          <w:tcPr>
            <w:tcW w:w="3261" w:type="dxa"/>
            <w:vAlign w:val="center"/>
          </w:tcPr>
          <w:p w:rsidR="00613209" w:rsidRPr="00F857F3" w:rsidRDefault="00F857F3" w:rsidP="002111EC">
            <w:pPr>
              <w:spacing w:line="240" w:lineRule="auto"/>
              <w:ind w:left="34" w:firstLine="0"/>
              <w:jc w:val="left"/>
              <w:rPr>
                <w:color w:val="1D1B11" w:themeColor="background2" w:themeShade="1A"/>
                <w:sz w:val="17"/>
                <w:szCs w:val="17"/>
              </w:rPr>
            </w:pPr>
            <w:r>
              <w:rPr>
                <w:color w:val="1D1B11" w:themeColor="background2" w:themeShade="1A"/>
                <w:sz w:val="17"/>
                <w:szCs w:val="17"/>
              </w:rPr>
              <w:t>Foam</w:t>
            </w:r>
            <w:r w:rsidRPr="00F857F3">
              <w:rPr>
                <w:color w:val="1D1B11" w:themeColor="background2" w:themeShade="1A"/>
                <w:sz w:val="17"/>
                <w:szCs w:val="17"/>
              </w:rPr>
              <w:t xml:space="preserve"> </w:t>
            </w:r>
            <w:r>
              <w:rPr>
                <w:color w:val="1D1B11" w:themeColor="background2" w:themeShade="1A"/>
                <w:sz w:val="17"/>
                <w:szCs w:val="17"/>
              </w:rPr>
              <w:t>formation</w:t>
            </w:r>
            <w:r w:rsidRPr="00F857F3">
              <w:rPr>
                <w:color w:val="1D1B11" w:themeColor="background2" w:themeShade="1A"/>
                <w:sz w:val="17"/>
                <w:szCs w:val="17"/>
              </w:rPr>
              <w:t xml:space="preserve"> + </w:t>
            </w:r>
            <w:r>
              <w:rPr>
                <w:color w:val="1D1B11" w:themeColor="background2" w:themeShade="1A"/>
                <w:sz w:val="17"/>
                <w:szCs w:val="17"/>
              </w:rPr>
              <w:t>gas formation</w:t>
            </w:r>
            <w:r w:rsidR="00613209" w:rsidRPr="00F857F3">
              <w:rPr>
                <w:color w:val="1D1B11" w:themeColor="background2" w:themeShade="1A"/>
                <w:sz w:val="17"/>
                <w:szCs w:val="17"/>
              </w:rPr>
              <w:t xml:space="preserve"> + </w:t>
            </w:r>
            <w:r>
              <w:rPr>
                <w:color w:val="1D1B11" w:themeColor="background2" w:themeShade="1A"/>
                <w:sz w:val="17"/>
                <w:szCs w:val="17"/>
              </w:rPr>
              <w:t>expanded polystyrene granules</w:t>
            </w:r>
            <w:r w:rsidRPr="00F857F3">
              <w:rPr>
                <w:color w:val="1D1B11" w:themeColor="background2" w:themeShade="1A"/>
                <w:sz w:val="17"/>
                <w:szCs w:val="17"/>
              </w:rPr>
              <w:t xml:space="preserve"> </w:t>
            </w:r>
          </w:p>
        </w:tc>
        <w:tc>
          <w:tcPr>
            <w:tcW w:w="850" w:type="dxa"/>
            <w:vAlign w:val="center"/>
          </w:tcPr>
          <w:p w:rsidR="00613209" w:rsidRPr="00A32E5D" w:rsidRDefault="00613209" w:rsidP="00A32E5D">
            <w:pPr>
              <w:spacing w:line="240" w:lineRule="auto"/>
              <w:ind w:firstLine="0"/>
              <w:jc w:val="center"/>
              <w:rPr>
                <w:color w:val="1D1B11" w:themeColor="background2" w:themeShade="1A"/>
                <w:sz w:val="17"/>
                <w:szCs w:val="17"/>
              </w:rPr>
            </w:pPr>
            <w:r w:rsidRPr="00A32E5D">
              <w:rPr>
                <w:color w:val="1D1B11" w:themeColor="background2" w:themeShade="1A"/>
                <w:sz w:val="17"/>
                <w:szCs w:val="17"/>
              </w:rPr>
              <w:t>220</w:t>
            </w:r>
          </w:p>
        </w:tc>
        <w:tc>
          <w:tcPr>
            <w:tcW w:w="1701" w:type="dxa"/>
            <w:vAlign w:val="center"/>
          </w:tcPr>
          <w:p w:rsidR="00613209" w:rsidRPr="00A32E5D" w:rsidRDefault="00613209" w:rsidP="00F857F3">
            <w:pPr>
              <w:spacing w:line="240" w:lineRule="auto"/>
              <w:ind w:firstLine="0"/>
              <w:jc w:val="center"/>
              <w:rPr>
                <w:color w:val="1D1B11" w:themeColor="background2" w:themeShade="1A"/>
                <w:sz w:val="17"/>
                <w:szCs w:val="17"/>
              </w:rPr>
            </w:pPr>
            <w:r w:rsidRPr="00A32E5D">
              <w:rPr>
                <w:color w:val="1D1B11" w:themeColor="background2" w:themeShade="1A"/>
                <w:sz w:val="17"/>
                <w:szCs w:val="17"/>
              </w:rPr>
              <w:t>0</w:t>
            </w:r>
            <w:r w:rsidR="00F857F3">
              <w:rPr>
                <w:color w:val="1D1B11" w:themeColor="background2" w:themeShade="1A"/>
                <w:sz w:val="17"/>
                <w:szCs w:val="17"/>
              </w:rPr>
              <w:t>.</w:t>
            </w:r>
            <w:r w:rsidRPr="00A32E5D">
              <w:rPr>
                <w:color w:val="1D1B11" w:themeColor="background2" w:themeShade="1A"/>
                <w:sz w:val="17"/>
                <w:szCs w:val="17"/>
              </w:rPr>
              <w:t>04</w:t>
            </w:r>
          </w:p>
        </w:tc>
        <w:tc>
          <w:tcPr>
            <w:tcW w:w="992" w:type="dxa"/>
            <w:vAlign w:val="center"/>
          </w:tcPr>
          <w:p w:rsidR="00613209" w:rsidRPr="00A32E5D" w:rsidRDefault="00613209" w:rsidP="00F857F3">
            <w:pPr>
              <w:spacing w:line="240" w:lineRule="auto"/>
              <w:ind w:firstLine="0"/>
              <w:jc w:val="center"/>
              <w:rPr>
                <w:color w:val="1D1B11" w:themeColor="background2" w:themeShade="1A"/>
                <w:sz w:val="17"/>
                <w:szCs w:val="17"/>
              </w:rPr>
            </w:pPr>
            <w:r w:rsidRPr="00A32E5D">
              <w:rPr>
                <w:color w:val="1D1B11" w:themeColor="background2" w:themeShade="1A"/>
                <w:sz w:val="17"/>
                <w:szCs w:val="17"/>
              </w:rPr>
              <w:t>0</w:t>
            </w:r>
            <w:r w:rsidR="00F857F3">
              <w:rPr>
                <w:color w:val="1D1B11" w:themeColor="background2" w:themeShade="1A"/>
                <w:sz w:val="17"/>
                <w:szCs w:val="17"/>
              </w:rPr>
              <w:t>.</w:t>
            </w:r>
            <w:r w:rsidRPr="00A32E5D">
              <w:rPr>
                <w:color w:val="1D1B11" w:themeColor="background2" w:themeShade="1A"/>
                <w:sz w:val="17"/>
                <w:szCs w:val="17"/>
              </w:rPr>
              <w:t>8</w:t>
            </w:r>
          </w:p>
        </w:tc>
      </w:tr>
    </w:tbl>
    <w:p w:rsidR="00A32E5D" w:rsidRPr="00F857F3" w:rsidRDefault="00F857F3" w:rsidP="00A32E5D">
      <w:pPr>
        <w:widowControl w:val="0"/>
        <w:spacing w:before="120" w:after="120" w:line="240" w:lineRule="auto"/>
        <w:ind w:firstLine="0"/>
        <w:rPr>
          <w:color w:val="1D1B11" w:themeColor="background2" w:themeShade="1A"/>
        </w:rPr>
      </w:pPr>
      <w:r w:rsidRPr="00F857F3">
        <w:rPr>
          <w:color w:val="1D1B11" w:themeColor="background2" w:themeShade="1A"/>
        </w:rPr>
        <w:t xml:space="preserve">When hydrogen peroxide </w:t>
      </w:r>
      <w:r>
        <w:rPr>
          <w:color w:val="1D1B11" w:themeColor="background2" w:themeShade="1A"/>
        </w:rPr>
        <w:t xml:space="preserve">is </w:t>
      </w:r>
      <w:r w:rsidRPr="00F857F3">
        <w:rPr>
          <w:color w:val="1D1B11" w:themeColor="background2" w:themeShade="1A"/>
        </w:rPr>
        <w:t xml:space="preserve">added to </w:t>
      </w:r>
      <w:r>
        <w:rPr>
          <w:color w:val="1D1B11" w:themeColor="background2" w:themeShade="1A"/>
        </w:rPr>
        <w:t>foam mass</w:t>
      </w:r>
      <w:r w:rsidRPr="00F857F3">
        <w:rPr>
          <w:color w:val="1D1B11" w:themeColor="background2" w:themeShade="1A"/>
        </w:rPr>
        <w:t xml:space="preserve"> in the composition of the formed pores of different types: large cells and small gas pores of the foam, located in partitions between large </w:t>
      </w:r>
      <w:r>
        <w:rPr>
          <w:color w:val="1D1B11" w:themeColor="background2" w:themeShade="1A"/>
        </w:rPr>
        <w:t xml:space="preserve">are formed </w:t>
      </w:r>
      <w:r w:rsidRPr="00F857F3">
        <w:rPr>
          <w:color w:val="1D1B11" w:themeColor="background2" w:themeShade="1A"/>
        </w:rPr>
        <w:t xml:space="preserve">(Fig. 4). The possibility is shown of additional pore </w:t>
      </w:r>
      <w:r>
        <w:rPr>
          <w:color w:val="1D1B11" w:themeColor="background2" w:themeShade="1A"/>
        </w:rPr>
        <w:t>foam mass</w:t>
      </w:r>
      <w:r w:rsidRPr="00F857F3">
        <w:rPr>
          <w:color w:val="1D1B11" w:themeColor="background2" w:themeShade="1A"/>
        </w:rPr>
        <w:t xml:space="preserve"> and the combined framework by 5 – 20 % porous granules. When in</w:t>
      </w:r>
      <w:r>
        <w:rPr>
          <w:color w:val="1D1B11" w:themeColor="background2" w:themeShade="1A"/>
        </w:rPr>
        <w:t>serting</w:t>
      </w:r>
      <w:r w:rsidRPr="00F857F3">
        <w:rPr>
          <w:color w:val="1D1B11" w:themeColor="background2" w:themeShade="1A"/>
        </w:rPr>
        <w:t xml:space="preserve"> expanded polystyrene granules into the foam mass, the density decreases by 1.8 times. To create a cellular-granular structure, </w:t>
      </w:r>
      <w:r>
        <w:rPr>
          <w:color w:val="1D1B11" w:themeColor="background2" w:themeShade="1A"/>
        </w:rPr>
        <w:t>swelling</w:t>
      </w:r>
      <w:r w:rsidRPr="00F857F3">
        <w:rPr>
          <w:color w:val="1D1B11" w:themeColor="background2" w:themeShade="1A"/>
        </w:rPr>
        <w:t xml:space="preserve"> granules of liquid glass were in</w:t>
      </w:r>
      <w:r>
        <w:rPr>
          <w:color w:val="1D1B11" w:themeColor="background2" w:themeShade="1A"/>
        </w:rPr>
        <w:t>serted</w:t>
      </w:r>
      <w:r w:rsidRPr="00F857F3">
        <w:rPr>
          <w:color w:val="1D1B11" w:themeColor="background2" w:themeShade="1A"/>
        </w:rPr>
        <w:t xml:space="preserve">. It is possible to reduce the density of the compositions </w:t>
      </w:r>
      <w:r>
        <w:rPr>
          <w:color w:val="1D1B11" w:themeColor="background2" w:themeShade="1A"/>
        </w:rPr>
        <w:t>by</w:t>
      </w:r>
      <w:r w:rsidRPr="00F857F3">
        <w:rPr>
          <w:color w:val="1D1B11" w:themeColor="background2" w:themeShade="1A"/>
        </w:rPr>
        <w:t xml:space="preserve"> 33 %.</w:t>
      </w:r>
      <w:r w:rsidR="00A32E5D" w:rsidRPr="00F857F3">
        <w:rPr>
          <w:color w:val="1D1B11" w:themeColor="background2" w:themeShade="1A"/>
        </w:rPr>
        <w:t xml:space="preserve"> </w:t>
      </w:r>
    </w:p>
    <w:tbl>
      <w:tblPr>
        <w:tblStyle w:val="a8"/>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1"/>
        <w:gridCol w:w="3369"/>
      </w:tblGrid>
      <w:tr w:rsidR="00613209" w:rsidRPr="00543A25" w:rsidTr="00A32E5D">
        <w:trPr>
          <w:jc w:val="center"/>
        </w:trPr>
        <w:tc>
          <w:tcPr>
            <w:tcW w:w="3371" w:type="dxa"/>
          </w:tcPr>
          <w:p w:rsidR="00613209" w:rsidRPr="00543A25" w:rsidRDefault="00C73AA3" w:rsidP="00613209">
            <w:pPr>
              <w:pStyle w:val="ae"/>
              <w:widowControl w:val="0"/>
              <w:spacing w:before="0" w:beforeAutospacing="0" w:after="0" w:afterAutospacing="0" w:line="360" w:lineRule="auto"/>
              <w:jc w:val="center"/>
              <w:rPr>
                <w:color w:val="1D1B11" w:themeColor="background2" w:themeShade="1A"/>
                <w:sz w:val="20"/>
                <w:szCs w:val="20"/>
                <w:highlight w:val="yellow"/>
              </w:rPr>
            </w:pPr>
            <w:r>
              <w:rPr>
                <w:noProof/>
                <w:color w:val="1D1B11" w:themeColor="background2" w:themeShade="1A"/>
                <w:sz w:val="20"/>
                <w:szCs w:val="20"/>
              </w:rPr>
              <w:pict>
                <v:group id="_x0000_s1079" style="position:absolute;left:0;text-align:left;margin-left:127.05pt;margin-top:.6pt;width:186.05pt;height:15.15pt;z-index:251676672" coordorigin="5232,4460" coordsize="3721,303">
                  <v:shapetype id="_x0000_t202" coordsize="21600,21600" o:spt="202" path="m,l,21600r21600,l21600,xe">
                    <v:stroke joinstyle="miter"/>
                    <v:path gradientshapeok="t" o:connecttype="rect"/>
                  </v:shapetype>
                  <v:shape id="_x0000_s1077" type="#_x0000_t202" style="position:absolute;left:5232;top:4460;width:317;height:303;v-text-anchor:middle">
                    <v:textbox style="mso-next-textbox:#_x0000_s1077" inset="0,0,0,0">
                      <w:txbxContent>
                        <w:p w:rsidR="006D115C" w:rsidRPr="00DB557F" w:rsidRDefault="006D115C" w:rsidP="006D115C">
                          <w:pPr>
                            <w:spacing w:line="240" w:lineRule="auto"/>
                            <w:ind w:firstLine="0"/>
                            <w:jc w:val="center"/>
                            <w:rPr>
                              <w:rFonts w:ascii="Arial" w:hAnsi="Arial" w:cs="Arial"/>
                              <w:b/>
                              <w:sz w:val="16"/>
                              <w:szCs w:val="16"/>
                              <w:lang w:val="ru-RU"/>
                            </w:rPr>
                          </w:pPr>
                          <w:r w:rsidRPr="006D115C">
                            <w:rPr>
                              <w:rFonts w:ascii="Arial" w:hAnsi="Arial" w:cs="Arial"/>
                              <w:b/>
                              <w:sz w:val="18"/>
                              <w:szCs w:val="18"/>
                              <w:lang w:val="ru-RU"/>
                            </w:rPr>
                            <w:t>1</w:t>
                          </w:r>
                        </w:p>
                      </w:txbxContent>
                    </v:textbox>
                  </v:shape>
                  <v:shape id="_x0000_s1078" type="#_x0000_t202" style="position:absolute;left:8636;top:4460;width:317;height:303;v-text-anchor:middle">
                    <v:textbox style="mso-next-textbox:#_x0000_s1078" inset="0,0,0,0">
                      <w:txbxContent>
                        <w:p w:rsidR="006D115C" w:rsidRPr="00DB557F" w:rsidRDefault="006D115C" w:rsidP="006D115C">
                          <w:pPr>
                            <w:spacing w:line="240" w:lineRule="auto"/>
                            <w:ind w:firstLine="0"/>
                            <w:jc w:val="center"/>
                            <w:rPr>
                              <w:rFonts w:ascii="Arial" w:hAnsi="Arial" w:cs="Arial"/>
                              <w:b/>
                              <w:sz w:val="16"/>
                              <w:szCs w:val="16"/>
                              <w:lang w:val="ru-RU"/>
                            </w:rPr>
                          </w:pPr>
                          <w:r>
                            <w:rPr>
                              <w:rFonts w:ascii="Arial" w:hAnsi="Arial" w:cs="Arial"/>
                              <w:b/>
                              <w:sz w:val="18"/>
                              <w:szCs w:val="18"/>
                              <w:lang w:val="ru-RU"/>
                            </w:rPr>
                            <w:t>2</w:t>
                          </w:r>
                        </w:p>
                      </w:txbxContent>
                    </v:textbox>
                  </v:shape>
                </v:group>
              </w:pict>
            </w:r>
            <w:r w:rsidR="00613209" w:rsidRPr="00543A25">
              <w:rPr>
                <w:noProof/>
                <w:color w:val="1D1B11" w:themeColor="background2" w:themeShade="1A"/>
                <w:sz w:val="20"/>
                <w:szCs w:val="20"/>
              </w:rPr>
              <w:drawing>
                <wp:inline distT="0" distB="0" distL="0" distR="0" wp14:anchorId="18384B3F" wp14:editId="42AB5BDF">
                  <wp:extent cx="1576614" cy="1192462"/>
                  <wp:effectExtent l="0" t="0" r="0" b="0"/>
                  <wp:docPr id="27" name="Рисунок 39" descr="C:\Users\Пользователь\Desktop\отчет 2017\грант 2017 от 2015\ЮКГУ ЭМ 2017.06\ЭМ 2017.07 №17\444sei\444-20sei - 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ользователь\Desktop\отчет 2017\грант 2017 от 2015\ЮКГУ ЭМ 2017.06\ЭМ 2017.07 №17\444sei\444-20sei - 21.bmp"/>
                          <pic:cNvPicPr>
                            <a:picLocks noChangeAspect="1" noChangeArrowheads="1"/>
                          </pic:cNvPicPr>
                        </pic:nvPicPr>
                        <pic:blipFill>
                          <a:blip r:embed="rId16" cstate="print"/>
                          <a:srcRect l="3906" t="13542" r="11719" b="2083"/>
                          <a:stretch>
                            <a:fillRect/>
                          </a:stretch>
                        </pic:blipFill>
                        <pic:spPr bwMode="auto">
                          <a:xfrm>
                            <a:off x="0" y="0"/>
                            <a:ext cx="1580000" cy="1195023"/>
                          </a:xfrm>
                          <a:prstGeom prst="rect">
                            <a:avLst/>
                          </a:prstGeom>
                          <a:noFill/>
                          <a:ln w="9525">
                            <a:noFill/>
                            <a:miter lim="800000"/>
                            <a:headEnd/>
                            <a:tailEnd/>
                          </a:ln>
                        </pic:spPr>
                      </pic:pic>
                    </a:graphicData>
                  </a:graphic>
                </wp:inline>
              </w:drawing>
            </w:r>
          </w:p>
        </w:tc>
        <w:tc>
          <w:tcPr>
            <w:tcW w:w="3369" w:type="dxa"/>
          </w:tcPr>
          <w:p w:rsidR="00613209" w:rsidRPr="00543A25" w:rsidRDefault="006D115C" w:rsidP="00613209">
            <w:pPr>
              <w:pStyle w:val="ae"/>
              <w:widowControl w:val="0"/>
              <w:spacing w:before="0" w:beforeAutospacing="0" w:after="0" w:afterAutospacing="0" w:line="360" w:lineRule="auto"/>
              <w:jc w:val="center"/>
              <w:rPr>
                <w:color w:val="1D1B11" w:themeColor="background2" w:themeShade="1A"/>
                <w:sz w:val="20"/>
                <w:szCs w:val="20"/>
                <w:highlight w:val="yellow"/>
              </w:rPr>
            </w:pPr>
            <w:r w:rsidRPr="006D115C">
              <w:rPr>
                <w:noProof/>
                <w:color w:val="1D1B11" w:themeColor="background2" w:themeShade="1A"/>
                <w:sz w:val="20"/>
                <w:szCs w:val="20"/>
              </w:rPr>
              <w:drawing>
                <wp:inline distT="0" distB="0" distL="0" distR="0" wp14:anchorId="42F04564" wp14:editId="16A2DCD4">
                  <wp:extent cx="1519464" cy="1149237"/>
                  <wp:effectExtent l="0" t="0" r="0" b="0"/>
                  <wp:docPr id="10" name="Рисунок 38" descr="D:\АНАЛИЗ физ хим )\ЭМ\ЮКГУ ЭМ 2017.06\ЭМ 2017.07 №17,18,20,21,22\444sei\444-22sei -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АНАЛИЗ физ хим )\ЭМ\ЮКГУ ЭМ 2017.06\ЭМ 2017.07 №17,18,20,21,22\444sei\444-22sei - 11.bmp"/>
                          <pic:cNvPicPr>
                            <a:picLocks noChangeAspect="1" noChangeArrowheads="1"/>
                          </pic:cNvPicPr>
                        </pic:nvPicPr>
                        <pic:blipFill>
                          <a:blip r:embed="rId17" cstate="print"/>
                          <a:srcRect l="4688" t="12500" r="10156" b="2083"/>
                          <a:stretch>
                            <a:fillRect/>
                          </a:stretch>
                        </pic:blipFill>
                        <pic:spPr bwMode="auto">
                          <a:xfrm>
                            <a:off x="0" y="0"/>
                            <a:ext cx="1522727" cy="1151705"/>
                          </a:xfrm>
                          <a:prstGeom prst="rect">
                            <a:avLst/>
                          </a:prstGeom>
                          <a:noFill/>
                          <a:ln w="9525">
                            <a:noFill/>
                            <a:miter lim="800000"/>
                            <a:headEnd/>
                            <a:tailEnd/>
                          </a:ln>
                        </pic:spPr>
                      </pic:pic>
                    </a:graphicData>
                  </a:graphic>
                </wp:inline>
              </w:drawing>
            </w:r>
          </w:p>
        </w:tc>
      </w:tr>
    </w:tbl>
    <w:p w:rsidR="00613209" w:rsidRPr="00F857F3" w:rsidRDefault="00F857F3" w:rsidP="00DF0E86">
      <w:pPr>
        <w:spacing w:line="240" w:lineRule="auto"/>
        <w:ind w:firstLine="0"/>
        <w:jc w:val="center"/>
        <w:rPr>
          <w:color w:val="1D1B11" w:themeColor="background2" w:themeShade="1A"/>
          <w:sz w:val="17"/>
          <w:szCs w:val="17"/>
        </w:rPr>
      </w:pPr>
      <w:r w:rsidRPr="00F857F3">
        <w:rPr>
          <w:color w:val="1D1B11" w:themeColor="background2" w:themeShade="1A"/>
          <w:sz w:val="17"/>
          <w:szCs w:val="17"/>
        </w:rPr>
        <w:t xml:space="preserve">1 – </w:t>
      </w:r>
      <w:proofErr w:type="gramStart"/>
      <w:r>
        <w:rPr>
          <w:color w:val="1D1B11" w:themeColor="background2" w:themeShade="1A"/>
          <w:sz w:val="17"/>
          <w:szCs w:val="17"/>
        </w:rPr>
        <w:t>gas</w:t>
      </w:r>
      <w:proofErr w:type="gramEnd"/>
      <w:r w:rsidRPr="00F857F3">
        <w:rPr>
          <w:color w:val="1D1B11" w:themeColor="background2" w:themeShade="1A"/>
          <w:sz w:val="17"/>
          <w:szCs w:val="17"/>
        </w:rPr>
        <w:t xml:space="preserve"> </w:t>
      </w:r>
      <w:r>
        <w:rPr>
          <w:color w:val="1D1B11" w:themeColor="background2" w:themeShade="1A"/>
          <w:sz w:val="17"/>
          <w:szCs w:val="17"/>
        </w:rPr>
        <w:t>formation</w:t>
      </w:r>
      <w:r w:rsidR="006D115C" w:rsidRPr="00F857F3">
        <w:rPr>
          <w:color w:val="1D1B11" w:themeColor="background2" w:themeShade="1A"/>
          <w:sz w:val="17"/>
          <w:szCs w:val="17"/>
        </w:rPr>
        <w:t>;</w:t>
      </w:r>
      <w:r w:rsidR="00613209" w:rsidRPr="00F857F3">
        <w:rPr>
          <w:color w:val="1D1B11" w:themeColor="background2" w:themeShade="1A"/>
          <w:sz w:val="17"/>
          <w:szCs w:val="17"/>
        </w:rPr>
        <w:t xml:space="preserve"> </w:t>
      </w:r>
      <w:r w:rsidR="006D115C" w:rsidRPr="00F857F3">
        <w:rPr>
          <w:color w:val="1D1B11" w:themeColor="background2" w:themeShade="1A"/>
          <w:sz w:val="17"/>
          <w:szCs w:val="17"/>
        </w:rPr>
        <w:t xml:space="preserve"> 2</w:t>
      </w:r>
      <w:r w:rsidR="00613209" w:rsidRPr="00F857F3">
        <w:rPr>
          <w:color w:val="1D1B11" w:themeColor="background2" w:themeShade="1A"/>
          <w:sz w:val="17"/>
          <w:szCs w:val="17"/>
        </w:rPr>
        <w:t xml:space="preserve"> – </w:t>
      </w:r>
      <w:r>
        <w:rPr>
          <w:color w:val="1D1B11" w:themeColor="background2" w:themeShade="1A"/>
          <w:sz w:val="17"/>
          <w:szCs w:val="17"/>
        </w:rPr>
        <w:t>foam formation</w:t>
      </w:r>
      <w:r w:rsidR="00613209" w:rsidRPr="00F857F3">
        <w:rPr>
          <w:color w:val="1D1B11" w:themeColor="background2" w:themeShade="1A"/>
          <w:sz w:val="17"/>
          <w:szCs w:val="17"/>
        </w:rPr>
        <w:t xml:space="preserve"> + </w:t>
      </w:r>
      <w:r>
        <w:rPr>
          <w:color w:val="1D1B11" w:themeColor="background2" w:themeShade="1A"/>
          <w:sz w:val="17"/>
          <w:szCs w:val="17"/>
        </w:rPr>
        <w:t>gas formation</w:t>
      </w:r>
      <w:r w:rsidR="00613209" w:rsidRPr="00F857F3">
        <w:rPr>
          <w:color w:val="1D1B11" w:themeColor="background2" w:themeShade="1A"/>
          <w:sz w:val="17"/>
          <w:szCs w:val="17"/>
        </w:rPr>
        <w:t xml:space="preserve">  + </w:t>
      </w:r>
      <w:r w:rsidR="006D115C" w:rsidRPr="00F857F3">
        <w:rPr>
          <w:color w:val="1D1B11" w:themeColor="background2" w:themeShade="1A"/>
          <w:sz w:val="17"/>
          <w:szCs w:val="17"/>
        </w:rPr>
        <w:t>15 %</w:t>
      </w:r>
      <w:r>
        <w:rPr>
          <w:color w:val="1D1B11" w:themeColor="background2" w:themeShade="1A"/>
          <w:sz w:val="17"/>
          <w:szCs w:val="17"/>
        </w:rPr>
        <w:t xml:space="preserve"> microspheres</w:t>
      </w:r>
      <w:r w:rsidR="00613209" w:rsidRPr="00F857F3">
        <w:rPr>
          <w:color w:val="1D1B11" w:themeColor="background2" w:themeShade="1A"/>
          <w:sz w:val="17"/>
          <w:szCs w:val="17"/>
        </w:rPr>
        <w:t xml:space="preserve"> </w:t>
      </w:r>
    </w:p>
    <w:p w:rsidR="00613209" w:rsidRPr="00F857F3" w:rsidRDefault="00F857F3" w:rsidP="00DF0E86">
      <w:pPr>
        <w:spacing w:before="240" w:after="120" w:line="220" w:lineRule="atLeast"/>
        <w:ind w:firstLine="0"/>
        <w:jc w:val="center"/>
        <w:rPr>
          <w:color w:val="1D1B11" w:themeColor="background2" w:themeShade="1A"/>
          <w:sz w:val="18"/>
          <w:szCs w:val="18"/>
          <w:highlight w:val="yellow"/>
        </w:rPr>
      </w:pPr>
      <w:proofErr w:type="gramStart"/>
      <w:r>
        <w:rPr>
          <w:b/>
          <w:sz w:val="18"/>
          <w:szCs w:val="18"/>
        </w:rPr>
        <w:t>Fig</w:t>
      </w:r>
      <w:r w:rsidR="006D115C" w:rsidRPr="00F857F3">
        <w:rPr>
          <w:b/>
          <w:sz w:val="18"/>
          <w:szCs w:val="18"/>
        </w:rPr>
        <w:t>.</w:t>
      </w:r>
      <w:r w:rsidR="00613209" w:rsidRPr="00F857F3">
        <w:rPr>
          <w:b/>
          <w:sz w:val="18"/>
          <w:szCs w:val="18"/>
        </w:rPr>
        <w:t xml:space="preserve"> </w:t>
      </w:r>
      <w:r w:rsidR="006D115C" w:rsidRPr="00F857F3">
        <w:rPr>
          <w:b/>
          <w:sz w:val="18"/>
          <w:szCs w:val="18"/>
        </w:rPr>
        <w:t>4.</w:t>
      </w:r>
      <w:proofErr w:type="gramEnd"/>
      <w:r w:rsidR="00613209" w:rsidRPr="00F857F3">
        <w:rPr>
          <w:color w:val="1D1B11" w:themeColor="background2" w:themeShade="1A"/>
          <w:sz w:val="18"/>
          <w:szCs w:val="18"/>
        </w:rPr>
        <w:t xml:space="preserve"> </w:t>
      </w:r>
      <w:proofErr w:type="gramStart"/>
      <w:r w:rsidRPr="00F857F3">
        <w:rPr>
          <w:color w:val="1D1B11" w:themeColor="background2" w:themeShade="1A"/>
          <w:sz w:val="18"/>
          <w:szCs w:val="18"/>
        </w:rPr>
        <w:t xml:space="preserve">Microstructure of magnesium compositions with different </w:t>
      </w:r>
      <w:proofErr w:type="spellStart"/>
      <w:r w:rsidRPr="00F857F3">
        <w:rPr>
          <w:color w:val="1D1B11" w:themeColor="background2" w:themeShade="1A"/>
          <w:sz w:val="18"/>
          <w:szCs w:val="18"/>
        </w:rPr>
        <w:t>poriza</w:t>
      </w:r>
      <w:r>
        <w:rPr>
          <w:color w:val="1D1B11" w:themeColor="background2" w:themeShade="1A"/>
          <w:sz w:val="18"/>
          <w:szCs w:val="18"/>
        </w:rPr>
        <w:t>tion</w:t>
      </w:r>
      <w:proofErr w:type="spellEnd"/>
      <w:r w:rsidR="00DF0E86">
        <w:rPr>
          <w:color w:val="1D1B11" w:themeColor="background2" w:themeShade="1A"/>
          <w:sz w:val="18"/>
          <w:szCs w:val="18"/>
        </w:rPr>
        <w:t>.</w:t>
      </w:r>
      <w:proofErr w:type="gramEnd"/>
    </w:p>
    <w:p w:rsidR="00A32E5D" w:rsidRPr="00F857F3" w:rsidRDefault="00F857F3" w:rsidP="00DF0E86">
      <w:pPr>
        <w:pStyle w:val="a9"/>
        <w:widowControl w:val="0"/>
        <w:kinsoku w:val="0"/>
        <w:overflowPunct w:val="0"/>
        <w:autoSpaceDE w:val="0"/>
        <w:autoSpaceDN w:val="0"/>
        <w:jc w:val="both"/>
        <w:rPr>
          <w:rFonts w:ascii="Times New Roman" w:hAnsi="Times New Roman"/>
          <w:color w:val="1D1B11" w:themeColor="background2" w:themeShade="1A"/>
          <w:spacing w:val="-2"/>
          <w:sz w:val="20"/>
          <w:szCs w:val="20"/>
          <w:lang w:val="en-US"/>
        </w:rPr>
      </w:pPr>
      <w:r w:rsidRPr="00F857F3">
        <w:rPr>
          <w:rFonts w:ascii="Times New Roman" w:hAnsi="Times New Roman"/>
          <w:color w:val="1D1B11" w:themeColor="background2" w:themeShade="1A"/>
          <w:spacing w:val="-2"/>
          <w:sz w:val="20"/>
          <w:szCs w:val="20"/>
          <w:lang w:val="en-US"/>
        </w:rPr>
        <w:lastRenderedPageBreak/>
        <w:t>Compositions based on a mixed magnesia</w:t>
      </w:r>
      <w:r>
        <w:rPr>
          <w:rFonts w:ascii="Times New Roman" w:hAnsi="Times New Roman"/>
          <w:color w:val="1D1B11" w:themeColor="background2" w:themeShade="1A"/>
          <w:spacing w:val="-2"/>
          <w:sz w:val="20"/>
          <w:szCs w:val="20"/>
          <w:lang w:val="en-US"/>
        </w:rPr>
        <w:t xml:space="preserve"> binder and integral aggregate “</w:t>
      </w:r>
      <w:r w:rsidRPr="00F857F3">
        <w:rPr>
          <w:rFonts w:ascii="Times New Roman" w:hAnsi="Times New Roman"/>
          <w:color w:val="1D1B11" w:themeColor="background2" w:themeShade="1A"/>
          <w:spacing w:val="-2"/>
          <w:sz w:val="20"/>
          <w:szCs w:val="20"/>
          <w:lang w:val="en-US"/>
        </w:rPr>
        <w:t>expanded polystyrene – wood particles – ash microsphere</w:t>
      </w:r>
      <w:r>
        <w:rPr>
          <w:rFonts w:ascii="Times New Roman" w:hAnsi="Times New Roman"/>
          <w:color w:val="1D1B11" w:themeColor="background2" w:themeShade="1A"/>
          <w:spacing w:val="-2"/>
          <w:sz w:val="20"/>
          <w:szCs w:val="20"/>
          <w:lang w:val="en-US"/>
        </w:rPr>
        <w:t xml:space="preserve">” </w:t>
      </w:r>
      <w:r w:rsidRPr="00F857F3">
        <w:rPr>
          <w:rFonts w:ascii="Times New Roman" w:hAnsi="Times New Roman"/>
          <w:color w:val="1D1B11" w:themeColor="background2" w:themeShade="1A"/>
          <w:spacing w:val="-2"/>
          <w:sz w:val="20"/>
          <w:szCs w:val="20"/>
          <w:lang w:val="en-US"/>
        </w:rPr>
        <w:t xml:space="preserve">are proposed. Optimization of the particle ratio makes it possible to obtain a combined structure that is maximally </w:t>
      </w:r>
      <w:r>
        <w:rPr>
          <w:rFonts w:ascii="Times New Roman" w:hAnsi="Times New Roman"/>
          <w:color w:val="1D1B11" w:themeColor="background2" w:themeShade="1A"/>
          <w:spacing w:val="-2"/>
          <w:sz w:val="20"/>
          <w:szCs w:val="20"/>
          <w:lang w:val="en-US"/>
        </w:rPr>
        <w:t>“p</w:t>
      </w:r>
      <w:r w:rsidRPr="00F857F3">
        <w:rPr>
          <w:rFonts w:ascii="Times New Roman" w:hAnsi="Times New Roman"/>
          <w:color w:val="1D1B11" w:themeColor="background2" w:themeShade="1A"/>
          <w:spacing w:val="-2"/>
          <w:sz w:val="20"/>
          <w:szCs w:val="20"/>
          <w:lang w:val="en-US"/>
        </w:rPr>
        <w:t>acked</w:t>
      </w:r>
      <w:r>
        <w:rPr>
          <w:rFonts w:ascii="Times New Roman" w:hAnsi="Times New Roman"/>
          <w:color w:val="1D1B11" w:themeColor="background2" w:themeShade="1A"/>
          <w:spacing w:val="-2"/>
          <w:sz w:val="20"/>
          <w:szCs w:val="20"/>
          <w:lang w:val="en-US"/>
        </w:rPr>
        <w:t>”</w:t>
      </w:r>
      <w:r w:rsidRPr="00F857F3">
        <w:rPr>
          <w:rFonts w:ascii="Times New Roman" w:hAnsi="Times New Roman"/>
          <w:color w:val="1D1B11" w:themeColor="background2" w:themeShade="1A"/>
          <w:spacing w:val="-2"/>
          <w:sz w:val="20"/>
          <w:szCs w:val="20"/>
          <w:lang w:val="en-US"/>
        </w:rPr>
        <w:t xml:space="preserve"> with different pores. The compositions are characteriz</w:t>
      </w:r>
      <w:r>
        <w:rPr>
          <w:rFonts w:ascii="Times New Roman" w:hAnsi="Times New Roman"/>
          <w:color w:val="1D1B11" w:themeColor="background2" w:themeShade="1A"/>
          <w:spacing w:val="-2"/>
          <w:sz w:val="20"/>
          <w:szCs w:val="20"/>
          <w:lang w:val="en-US"/>
        </w:rPr>
        <w:t>ed by a density of 350</w:t>
      </w:r>
      <w:r w:rsidR="002111EC" w:rsidRPr="002111EC">
        <w:rPr>
          <w:rFonts w:ascii="Times New Roman" w:hAnsi="Times New Roman"/>
          <w:color w:val="1D1B11" w:themeColor="background2" w:themeShade="1A"/>
          <w:spacing w:val="-2"/>
          <w:sz w:val="20"/>
          <w:szCs w:val="20"/>
          <w:lang w:val="en-US"/>
        </w:rPr>
        <w:t xml:space="preserve"> </w:t>
      </w:r>
      <w:r w:rsidR="002111EC" w:rsidRPr="002111EC">
        <w:rPr>
          <w:color w:val="1D1B11" w:themeColor="background2" w:themeShade="1A"/>
          <w:sz w:val="17"/>
          <w:szCs w:val="17"/>
          <w:lang w:val="en-US"/>
        </w:rPr>
        <w:t xml:space="preserve">– </w:t>
      </w:r>
      <w:r>
        <w:rPr>
          <w:rFonts w:ascii="Times New Roman" w:hAnsi="Times New Roman"/>
          <w:color w:val="1D1B11" w:themeColor="background2" w:themeShade="1A"/>
          <w:spacing w:val="-2"/>
          <w:sz w:val="20"/>
          <w:szCs w:val="20"/>
          <w:lang w:val="en-US"/>
        </w:rPr>
        <w:t>650 kg/</w:t>
      </w:r>
      <w:r w:rsidRPr="00F857F3">
        <w:rPr>
          <w:rFonts w:ascii="Times New Roman" w:hAnsi="Times New Roman"/>
          <w:color w:val="1D1B11" w:themeColor="background2" w:themeShade="1A"/>
          <w:spacing w:val="-2"/>
          <w:sz w:val="20"/>
          <w:szCs w:val="20"/>
          <w:lang w:val="en-US"/>
        </w:rPr>
        <w:t>m</w:t>
      </w:r>
      <w:r w:rsidRPr="00F857F3">
        <w:rPr>
          <w:rFonts w:ascii="Times New Roman" w:hAnsi="Times New Roman"/>
          <w:color w:val="1D1B11" w:themeColor="background2" w:themeShade="1A"/>
          <w:spacing w:val="-2"/>
          <w:sz w:val="20"/>
          <w:szCs w:val="20"/>
          <w:vertAlign w:val="superscript"/>
          <w:lang w:val="en-US"/>
        </w:rPr>
        <w:t>3</w:t>
      </w:r>
      <w:r w:rsidRPr="00F857F3">
        <w:rPr>
          <w:rFonts w:ascii="Times New Roman" w:hAnsi="Times New Roman"/>
          <w:color w:val="1D1B11" w:themeColor="background2" w:themeShade="1A"/>
          <w:spacing w:val="-2"/>
          <w:sz w:val="20"/>
          <w:szCs w:val="20"/>
          <w:lang w:val="en-US"/>
        </w:rPr>
        <w:t xml:space="preserve"> and a compressive strength of 1</w:t>
      </w:r>
      <w:r w:rsidR="002111EC" w:rsidRPr="002111EC">
        <w:rPr>
          <w:color w:val="1D1B11" w:themeColor="background2" w:themeShade="1A"/>
          <w:sz w:val="17"/>
          <w:szCs w:val="17"/>
          <w:lang w:val="en-US"/>
        </w:rPr>
        <w:t>–</w:t>
      </w:r>
      <w:r w:rsidRPr="00F857F3">
        <w:rPr>
          <w:rFonts w:ascii="Times New Roman" w:hAnsi="Times New Roman"/>
          <w:color w:val="1D1B11" w:themeColor="background2" w:themeShade="1A"/>
          <w:spacing w:val="-2"/>
          <w:sz w:val="20"/>
          <w:szCs w:val="20"/>
          <w:lang w:val="en-US"/>
        </w:rPr>
        <w:t xml:space="preserve">7 </w:t>
      </w:r>
      <w:proofErr w:type="spellStart"/>
      <w:r w:rsidRPr="00F857F3">
        <w:rPr>
          <w:rFonts w:ascii="Times New Roman" w:hAnsi="Times New Roman"/>
          <w:color w:val="1D1B11" w:themeColor="background2" w:themeShade="1A"/>
          <w:spacing w:val="-2"/>
          <w:sz w:val="20"/>
          <w:szCs w:val="20"/>
          <w:lang w:val="en-US"/>
        </w:rPr>
        <w:t>MPa</w:t>
      </w:r>
      <w:proofErr w:type="spellEnd"/>
      <w:r w:rsidRPr="00F857F3">
        <w:rPr>
          <w:rFonts w:ascii="Times New Roman" w:hAnsi="Times New Roman"/>
          <w:color w:val="1D1B11" w:themeColor="background2" w:themeShade="1A"/>
          <w:spacing w:val="-2"/>
          <w:sz w:val="20"/>
          <w:szCs w:val="20"/>
          <w:lang w:val="en-US"/>
        </w:rPr>
        <w:t>.</w:t>
      </w:r>
      <w:r w:rsidR="00A32E5D" w:rsidRPr="00F857F3">
        <w:rPr>
          <w:rFonts w:ascii="Times New Roman" w:hAnsi="Times New Roman"/>
          <w:color w:val="1D1B11" w:themeColor="background2" w:themeShade="1A"/>
          <w:spacing w:val="-2"/>
          <w:sz w:val="20"/>
          <w:szCs w:val="20"/>
          <w:lang w:val="en-US"/>
        </w:rPr>
        <w:t xml:space="preserve"> </w:t>
      </w:r>
    </w:p>
    <w:p w:rsidR="00F857F3" w:rsidRDefault="00F857F3" w:rsidP="00DB557F">
      <w:pPr>
        <w:pStyle w:val="ae"/>
        <w:widowControl w:val="0"/>
        <w:spacing w:before="0" w:beforeAutospacing="0" w:after="0" w:afterAutospacing="0"/>
        <w:ind w:firstLine="227"/>
        <w:jc w:val="both"/>
        <w:rPr>
          <w:color w:val="1D1B11" w:themeColor="background2" w:themeShade="1A"/>
          <w:spacing w:val="-2"/>
          <w:sz w:val="20"/>
          <w:szCs w:val="20"/>
          <w:lang w:val="en-US"/>
        </w:rPr>
      </w:pPr>
      <w:r w:rsidRPr="00F857F3">
        <w:rPr>
          <w:color w:val="1D1B11" w:themeColor="background2" w:themeShade="1A"/>
          <w:spacing w:val="-2"/>
          <w:sz w:val="20"/>
          <w:szCs w:val="20"/>
          <w:lang w:val="en-US"/>
        </w:rPr>
        <w:t xml:space="preserve">A rational method for preparing the molding mass is determined, which provides for the initial contact of the binder with a solution of magnesium chloride; then the addition of step-by-step fillers. The method will provide increased strength, uniform distribution of components. As a fibrous component, substandard wool and waste from the production of mineral wool were used. </w:t>
      </w:r>
      <w:r>
        <w:rPr>
          <w:color w:val="1D1B11" w:themeColor="background2" w:themeShade="1A"/>
          <w:spacing w:val="-2"/>
          <w:sz w:val="20"/>
          <w:szCs w:val="20"/>
          <w:lang w:val="en-US"/>
        </w:rPr>
        <w:t xml:space="preserve">Technogenic </w:t>
      </w:r>
      <w:proofErr w:type="spellStart"/>
      <w:proofErr w:type="gramStart"/>
      <w:r>
        <w:rPr>
          <w:color w:val="1D1B11" w:themeColor="background2" w:themeShade="1A"/>
          <w:spacing w:val="-2"/>
          <w:sz w:val="20"/>
          <w:szCs w:val="20"/>
          <w:lang w:val="en-US"/>
        </w:rPr>
        <w:t>fibre</w:t>
      </w:r>
      <w:proofErr w:type="spellEnd"/>
      <w:r>
        <w:rPr>
          <w:color w:val="1D1B11" w:themeColor="background2" w:themeShade="1A"/>
          <w:spacing w:val="-2"/>
          <w:sz w:val="20"/>
          <w:szCs w:val="20"/>
          <w:lang w:val="en-US"/>
        </w:rPr>
        <w:t xml:space="preserve"> (2</w:t>
      </w:r>
      <w:r w:rsidRPr="00F857F3">
        <w:rPr>
          <w:color w:val="1D1B11" w:themeColor="background2" w:themeShade="1A"/>
          <w:spacing w:val="-2"/>
          <w:sz w:val="20"/>
          <w:szCs w:val="20"/>
          <w:lang w:val="en-US"/>
        </w:rPr>
        <w:t>%) provide</w:t>
      </w:r>
      <w:proofErr w:type="gramEnd"/>
      <w:r w:rsidRPr="00F857F3">
        <w:rPr>
          <w:color w:val="1D1B11" w:themeColor="background2" w:themeShade="1A"/>
          <w:spacing w:val="-2"/>
          <w:sz w:val="20"/>
          <w:szCs w:val="20"/>
          <w:lang w:val="en-US"/>
        </w:rPr>
        <w:t xml:space="preserve"> hardening of </w:t>
      </w:r>
      <w:proofErr w:type="spellStart"/>
      <w:r w:rsidRPr="00F857F3">
        <w:rPr>
          <w:color w:val="1D1B11" w:themeColor="background2" w:themeShade="1A"/>
          <w:spacing w:val="-2"/>
          <w:sz w:val="20"/>
          <w:szCs w:val="20"/>
          <w:lang w:val="en-US"/>
        </w:rPr>
        <w:t>interporous</w:t>
      </w:r>
      <w:proofErr w:type="spellEnd"/>
      <w:r w:rsidRPr="00F857F3">
        <w:rPr>
          <w:color w:val="1D1B11" w:themeColor="background2" w:themeShade="1A"/>
          <w:spacing w:val="-2"/>
          <w:sz w:val="20"/>
          <w:szCs w:val="20"/>
          <w:lang w:val="en-US"/>
        </w:rPr>
        <w:t xml:space="preserve"> partitions </w:t>
      </w:r>
      <w:r>
        <w:rPr>
          <w:color w:val="1D1B11" w:themeColor="background2" w:themeShade="1A"/>
          <w:spacing w:val="-2"/>
          <w:sz w:val="20"/>
          <w:szCs w:val="20"/>
          <w:lang w:val="en-US"/>
        </w:rPr>
        <w:t xml:space="preserve">of </w:t>
      </w:r>
      <w:r w:rsidRPr="00F857F3">
        <w:rPr>
          <w:color w:val="1D1B11" w:themeColor="background2" w:themeShade="1A"/>
          <w:spacing w:val="-2"/>
          <w:sz w:val="20"/>
          <w:szCs w:val="20"/>
          <w:lang w:val="en-US"/>
        </w:rPr>
        <w:t>aerated structure.</w:t>
      </w:r>
    </w:p>
    <w:p w:rsidR="00613209" w:rsidRPr="00D55C9C" w:rsidRDefault="00D55C9C" w:rsidP="00D55C9C">
      <w:pPr>
        <w:pStyle w:val="ae"/>
        <w:widowControl w:val="0"/>
        <w:spacing w:before="0" w:beforeAutospacing="0" w:after="120" w:afterAutospacing="0"/>
        <w:ind w:firstLine="227"/>
        <w:jc w:val="both"/>
        <w:rPr>
          <w:color w:val="1D1B11" w:themeColor="background2" w:themeShade="1A"/>
          <w:sz w:val="20"/>
          <w:szCs w:val="20"/>
          <w:lang w:val="en-US"/>
        </w:rPr>
      </w:pPr>
      <w:r w:rsidRPr="00D55C9C">
        <w:rPr>
          <w:color w:val="1D1B11" w:themeColor="background2" w:themeShade="1A"/>
          <w:sz w:val="20"/>
          <w:szCs w:val="20"/>
          <w:lang w:val="en-US"/>
        </w:rPr>
        <w:t>To obtain porous compositions, a granulated magnesia aggregate was used, which was in</w:t>
      </w:r>
      <w:r>
        <w:rPr>
          <w:color w:val="1D1B11" w:themeColor="background2" w:themeShade="1A"/>
          <w:sz w:val="20"/>
          <w:szCs w:val="20"/>
          <w:lang w:val="en-US"/>
        </w:rPr>
        <w:t>serted</w:t>
      </w:r>
      <w:r w:rsidRPr="00D55C9C">
        <w:rPr>
          <w:color w:val="1D1B11" w:themeColor="background2" w:themeShade="1A"/>
          <w:sz w:val="20"/>
          <w:szCs w:val="20"/>
          <w:lang w:val="en-US"/>
        </w:rPr>
        <w:t xml:space="preserve"> into the molding foam mass at a ratio of </w:t>
      </w:r>
      <w:r>
        <w:rPr>
          <w:color w:val="1D1B11" w:themeColor="background2" w:themeShade="1A"/>
          <w:sz w:val="20"/>
          <w:szCs w:val="20"/>
          <w:lang w:val="en-US"/>
        </w:rPr>
        <w:t>“</w:t>
      </w:r>
      <w:r w:rsidRPr="00D55C9C">
        <w:rPr>
          <w:color w:val="1D1B11" w:themeColor="background2" w:themeShade="1A"/>
          <w:sz w:val="20"/>
          <w:szCs w:val="20"/>
          <w:lang w:val="en-US"/>
        </w:rPr>
        <w:t>binder: filler</w:t>
      </w:r>
      <w:r>
        <w:rPr>
          <w:color w:val="1D1B11" w:themeColor="background2" w:themeShade="1A"/>
          <w:sz w:val="20"/>
          <w:szCs w:val="20"/>
          <w:lang w:val="en-US"/>
        </w:rPr>
        <w:t xml:space="preserve">” – 30:70 </w:t>
      </w:r>
      <w:r w:rsidRPr="00D55C9C">
        <w:rPr>
          <w:color w:val="1D1B11" w:themeColor="background2" w:themeShade="1A"/>
          <w:sz w:val="20"/>
          <w:szCs w:val="20"/>
          <w:lang w:val="en-US"/>
        </w:rPr>
        <w:t xml:space="preserve">%. </w:t>
      </w:r>
      <w:bookmarkStart w:id="0" w:name="_GoBack"/>
      <w:bookmarkEnd w:id="0"/>
      <w:r w:rsidRPr="00D55C9C">
        <w:rPr>
          <w:color w:val="1D1B11" w:themeColor="background2" w:themeShade="1A"/>
          <w:sz w:val="20"/>
          <w:szCs w:val="20"/>
          <w:lang w:val="en-US"/>
        </w:rPr>
        <w:t>The resulting magnesia concrete is chara</w:t>
      </w:r>
      <w:r>
        <w:rPr>
          <w:color w:val="1D1B11" w:themeColor="background2" w:themeShade="1A"/>
          <w:sz w:val="20"/>
          <w:szCs w:val="20"/>
          <w:lang w:val="en-US"/>
        </w:rPr>
        <w:t>cterized by a density of 540 kg/</w:t>
      </w:r>
      <w:r w:rsidRPr="00D55C9C">
        <w:rPr>
          <w:color w:val="1D1B11" w:themeColor="background2" w:themeShade="1A"/>
          <w:sz w:val="20"/>
          <w:szCs w:val="20"/>
          <w:lang w:val="en-US"/>
        </w:rPr>
        <w:t>m</w:t>
      </w:r>
      <w:r w:rsidRPr="00D55C9C">
        <w:rPr>
          <w:color w:val="1D1B11" w:themeColor="background2" w:themeShade="1A"/>
          <w:sz w:val="20"/>
          <w:szCs w:val="20"/>
          <w:vertAlign w:val="superscript"/>
          <w:lang w:val="en-US"/>
        </w:rPr>
        <w:t>3</w:t>
      </w:r>
      <w:r w:rsidRPr="00D55C9C">
        <w:rPr>
          <w:color w:val="1D1B11" w:themeColor="background2" w:themeShade="1A"/>
          <w:sz w:val="20"/>
          <w:szCs w:val="20"/>
          <w:lang w:val="en-US"/>
        </w:rPr>
        <w:t xml:space="preserve"> and a compressive strength of 4.1 MPa (Fig. 5).</w:t>
      </w:r>
    </w:p>
    <w:tbl>
      <w:tblPr>
        <w:tblStyle w:val="a8"/>
        <w:tblW w:w="0" w:type="auto"/>
        <w:jc w:val="center"/>
        <w:tblInd w:w="1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2"/>
        <w:gridCol w:w="2376"/>
      </w:tblGrid>
      <w:tr w:rsidR="00613209" w:rsidRPr="00543A25" w:rsidTr="006D115C">
        <w:trPr>
          <w:jc w:val="center"/>
        </w:trPr>
        <w:tc>
          <w:tcPr>
            <w:tcW w:w="2576" w:type="dxa"/>
          </w:tcPr>
          <w:p w:rsidR="00613209" w:rsidRPr="00543A25" w:rsidRDefault="00C73AA3" w:rsidP="00613209">
            <w:pPr>
              <w:pStyle w:val="ae"/>
              <w:widowControl w:val="0"/>
              <w:spacing w:before="0" w:beforeAutospacing="0" w:after="0" w:afterAutospacing="0"/>
              <w:jc w:val="center"/>
              <w:rPr>
                <w:color w:val="1D1B11" w:themeColor="background2" w:themeShade="1A"/>
                <w:spacing w:val="-2"/>
                <w:sz w:val="20"/>
                <w:szCs w:val="20"/>
              </w:rPr>
            </w:pPr>
            <w:r>
              <w:rPr>
                <w:noProof/>
                <w:color w:val="1D1B11" w:themeColor="background2" w:themeShade="1A"/>
              </w:rPr>
              <w:pict>
                <v:group id="_x0000_s1083" style="position:absolute;left:0;text-align:left;margin-left:118.45pt;margin-top:4.85pt;width:122.35pt;height:15.15pt;z-index:251680768" coordorigin="5625,11829" coordsize="2447,303">
                  <v:shape id="_x0000_s1081" type="#_x0000_t202" style="position:absolute;left:5625;top:11829;width:317;height:303;v-text-anchor:middle">
                    <v:textbox style="mso-next-textbox:#_x0000_s1081" inset="0,0,0,0">
                      <w:txbxContent>
                        <w:p w:rsidR="006D115C" w:rsidRPr="00DB557F" w:rsidRDefault="006D115C" w:rsidP="006D115C">
                          <w:pPr>
                            <w:spacing w:line="240" w:lineRule="auto"/>
                            <w:ind w:firstLine="0"/>
                            <w:jc w:val="center"/>
                            <w:rPr>
                              <w:rFonts w:ascii="Arial" w:hAnsi="Arial" w:cs="Arial"/>
                              <w:b/>
                              <w:sz w:val="16"/>
                              <w:szCs w:val="16"/>
                              <w:lang w:val="ru-RU"/>
                            </w:rPr>
                          </w:pPr>
                          <w:r w:rsidRPr="00DB557F">
                            <w:rPr>
                              <w:rFonts w:ascii="Arial" w:hAnsi="Arial" w:cs="Arial"/>
                              <w:b/>
                              <w:sz w:val="16"/>
                              <w:szCs w:val="16"/>
                              <w:lang w:val="ru-RU"/>
                            </w:rPr>
                            <w:t>1</w:t>
                          </w:r>
                        </w:p>
                      </w:txbxContent>
                    </v:textbox>
                  </v:shape>
                  <v:shape id="_x0000_s1082" type="#_x0000_t202" style="position:absolute;left:7755;top:11829;width:317;height:303;v-text-anchor:middle">
                    <v:textbox style="mso-next-textbox:#_x0000_s1082" inset="0,0,0,0">
                      <w:txbxContent>
                        <w:p w:rsidR="006D115C" w:rsidRPr="00DB557F" w:rsidRDefault="006D115C" w:rsidP="006D115C">
                          <w:pPr>
                            <w:spacing w:line="240" w:lineRule="auto"/>
                            <w:ind w:firstLine="0"/>
                            <w:jc w:val="center"/>
                            <w:rPr>
                              <w:rFonts w:ascii="Arial" w:hAnsi="Arial" w:cs="Arial"/>
                              <w:b/>
                              <w:sz w:val="16"/>
                              <w:szCs w:val="16"/>
                              <w:lang w:val="ru-RU"/>
                            </w:rPr>
                          </w:pPr>
                          <w:r w:rsidRPr="00DB557F">
                            <w:rPr>
                              <w:rFonts w:ascii="Arial" w:hAnsi="Arial" w:cs="Arial"/>
                              <w:b/>
                              <w:sz w:val="16"/>
                              <w:szCs w:val="16"/>
                              <w:lang w:val="ru-RU"/>
                            </w:rPr>
                            <w:t>2</w:t>
                          </w:r>
                        </w:p>
                      </w:txbxContent>
                    </v:textbox>
                  </v:shape>
                </v:group>
              </w:pict>
            </w:r>
            <w:r w:rsidR="00613209" w:rsidRPr="00543A25">
              <w:rPr>
                <w:noProof/>
                <w:color w:val="1D1B11" w:themeColor="background2" w:themeShade="1A"/>
                <w:spacing w:val="-2"/>
                <w:sz w:val="20"/>
                <w:szCs w:val="20"/>
              </w:rPr>
              <w:drawing>
                <wp:inline distT="0" distB="0" distL="0" distR="0">
                  <wp:extent cx="1715656" cy="1440000"/>
                  <wp:effectExtent l="19050" t="0" r="0" b="0"/>
                  <wp:docPr id="10360" name="Рисунок 1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 name="4) пеногазо- с гранулами н.плотностью 615 (Ж10 - 4.06.20).jpg"/>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23120" t="11574" r="8892" b="25076"/>
                          <a:stretch/>
                        </pic:blipFill>
                        <pic:spPr bwMode="auto">
                          <a:xfrm>
                            <a:off x="0" y="0"/>
                            <a:ext cx="1715656" cy="1440000"/>
                          </a:xfrm>
                          <a:prstGeom prst="rect">
                            <a:avLst/>
                          </a:prstGeom>
                          <a:ln w="19050">
                            <a:noFill/>
                          </a:ln>
                          <a:extLst>
                            <a:ext uri="{53640926-AAD7-44D8-BBD7-CCE9431645EC}">
                              <a14:shadowObscured xmlns:a14="http://schemas.microsoft.com/office/drawing/2010/main"/>
                            </a:ext>
                          </a:extLst>
                        </pic:spPr>
                      </pic:pic>
                    </a:graphicData>
                  </a:graphic>
                </wp:inline>
              </w:drawing>
            </w:r>
          </w:p>
        </w:tc>
        <w:tc>
          <w:tcPr>
            <w:tcW w:w="2059" w:type="dxa"/>
          </w:tcPr>
          <w:p w:rsidR="00613209" w:rsidRPr="00543A25" w:rsidRDefault="00613209" w:rsidP="00613209">
            <w:pPr>
              <w:pStyle w:val="ae"/>
              <w:widowControl w:val="0"/>
              <w:spacing w:before="0" w:beforeAutospacing="0" w:after="0" w:afterAutospacing="0"/>
              <w:jc w:val="center"/>
              <w:rPr>
                <w:color w:val="1D1B11" w:themeColor="background2" w:themeShade="1A"/>
                <w:spacing w:val="-2"/>
                <w:sz w:val="20"/>
                <w:szCs w:val="20"/>
              </w:rPr>
            </w:pPr>
            <w:r w:rsidRPr="00543A25">
              <w:rPr>
                <w:noProof/>
                <w:color w:val="1D1B11" w:themeColor="background2" w:themeShade="1A"/>
                <w:spacing w:val="-2"/>
                <w:sz w:val="20"/>
                <w:szCs w:val="20"/>
              </w:rPr>
              <w:drawing>
                <wp:inline distT="0" distB="0" distL="0" distR="0">
                  <wp:extent cx="1380601" cy="1440000"/>
                  <wp:effectExtent l="19050" t="0" r="0" b="0"/>
                  <wp:docPr id="10338" name="Рисунок 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 name="IMG_20200626_110509.jpg"/>
                          <pic:cNvPicPr/>
                        </pic:nvPicPr>
                        <pic:blipFill rotWithShape="1">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l="1764" t="1702" r="3528" b="1702"/>
                          <a:stretch/>
                        </pic:blipFill>
                        <pic:spPr bwMode="auto">
                          <a:xfrm>
                            <a:off x="0" y="0"/>
                            <a:ext cx="1380601" cy="1440000"/>
                          </a:xfrm>
                          <a:prstGeom prst="rect">
                            <a:avLst/>
                          </a:prstGeom>
                          <a:ln w="19050">
                            <a:noFill/>
                          </a:ln>
                          <a:extLst>
                            <a:ext uri="{53640926-AAD7-44D8-BBD7-CCE9431645EC}">
                              <a14:shadowObscured xmlns:a14="http://schemas.microsoft.com/office/drawing/2010/main"/>
                            </a:ext>
                          </a:extLst>
                        </pic:spPr>
                      </pic:pic>
                    </a:graphicData>
                  </a:graphic>
                </wp:inline>
              </w:drawing>
            </w:r>
          </w:p>
        </w:tc>
      </w:tr>
    </w:tbl>
    <w:p w:rsidR="00613209" w:rsidRPr="00D55C9C" w:rsidRDefault="00DB557F" w:rsidP="00DB557F">
      <w:pPr>
        <w:spacing w:before="120" w:after="120" w:line="240" w:lineRule="auto"/>
        <w:jc w:val="center"/>
        <w:rPr>
          <w:color w:val="1D1B11" w:themeColor="background2" w:themeShade="1A"/>
          <w:sz w:val="17"/>
          <w:szCs w:val="17"/>
        </w:rPr>
      </w:pPr>
      <w:r w:rsidRPr="00D55C9C">
        <w:rPr>
          <w:color w:val="1D1B11" w:themeColor="background2" w:themeShade="1A"/>
          <w:sz w:val="17"/>
          <w:szCs w:val="17"/>
        </w:rPr>
        <w:t xml:space="preserve">1 – </w:t>
      </w:r>
      <w:proofErr w:type="gramStart"/>
      <w:r w:rsidR="00D55C9C" w:rsidRPr="00D55C9C">
        <w:rPr>
          <w:color w:val="1D1B11" w:themeColor="background2" w:themeShade="1A"/>
          <w:sz w:val="17"/>
          <w:szCs w:val="17"/>
        </w:rPr>
        <w:t>porous</w:t>
      </w:r>
      <w:proofErr w:type="gramEnd"/>
      <w:r w:rsidR="00D55C9C" w:rsidRPr="00D55C9C">
        <w:rPr>
          <w:color w:val="1D1B11" w:themeColor="background2" w:themeShade="1A"/>
          <w:sz w:val="17"/>
          <w:szCs w:val="17"/>
        </w:rPr>
        <w:t xml:space="preserve"> structure</w:t>
      </w:r>
      <w:r w:rsidRPr="00D55C9C">
        <w:rPr>
          <w:color w:val="1D1B11" w:themeColor="background2" w:themeShade="1A"/>
          <w:sz w:val="17"/>
          <w:szCs w:val="17"/>
        </w:rPr>
        <w:t xml:space="preserve">; </w:t>
      </w:r>
      <w:r w:rsidR="00D55C9C">
        <w:rPr>
          <w:color w:val="1D1B11" w:themeColor="background2" w:themeShade="1A"/>
          <w:sz w:val="17"/>
          <w:szCs w:val="17"/>
        </w:rPr>
        <w:t xml:space="preserve">      </w:t>
      </w:r>
      <w:r w:rsidR="00613209" w:rsidRPr="00D55C9C">
        <w:rPr>
          <w:color w:val="1D1B11" w:themeColor="background2" w:themeShade="1A"/>
          <w:sz w:val="17"/>
          <w:szCs w:val="17"/>
        </w:rPr>
        <w:t xml:space="preserve">2 – </w:t>
      </w:r>
      <w:r w:rsidR="00D55C9C" w:rsidRPr="00D55C9C">
        <w:rPr>
          <w:color w:val="1D1B11" w:themeColor="background2" w:themeShade="1A"/>
          <w:sz w:val="17"/>
          <w:szCs w:val="17"/>
        </w:rPr>
        <w:t>large-pore structure</w:t>
      </w:r>
    </w:p>
    <w:p w:rsidR="00613209" w:rsidRPr="002111EC" w:rsidRDefault="00D55C9C" w:rsidP="00DF0E86">
      <w:pPr>
        <w:spacing w:before="240" w:after="120" w:line="220" w:lineRule="atLeast"/>
        <w:jc w:val="center"/>
        <w:rPr>
          <w:color w:val="1D1B11" w:themeColor="background2" w:themeShade="1A"/>
          <w:sz w:val="18"/>
          <w:szCs w:val="18"/>
        </w:rPr>
      </w:pPr>
      <w:proofErr w:type="gramStart"/>
      <w:r>
        <w:rPr>
          <w:b/>
          <w:sz w:val="18"/>
          <w:szCs w:val="18"/>
        </w:rPr>
        <w:t>Fig</w:t>
      </w:r>
      <w:r w:rsidR="006D115C" w:rsidRPr="00D55C9C">
        <w:rPr>
          <w:b/>
          <w:sz w:val="18"/>
          <w:szCs w:val="18"/>
        </w:rPr>
        <w:t>.</w:t>
      </w:r>
      <w:r w:rsidR="00613209" w:rsidRPr="00D55C9C">
        <w:rPr>
          <w:b/>
          <w:sz w:val="18"/>
          <w:szCs w:val="18"/>
        </w:rPr>
        <w:t xml:space="preserve"> </w:t>
      </w:r>
      <w:r w:rsidR="006D115C" w:rsidRPr="00D55C9C">
        <w:rPr>
          <w:b/>
          <w:sz w:val="18"/>
          <w:szCs w:val="18"/>
        </w:rPr>
        <w:t>5.</w:t>
      </w:r>
      <w:proofErr w:type="gramEnd"/>
      <w:r w:rsidR="00613209" w:rsidRPr="00D55C9C">
        <w:rPr>
          <w:color w:val="1D1B11" w:themeColor="background2" w:themeShade="1A"/>
          <w:sz w:val="18"/>
          <w:szCs w:val="18"/>
        </w:rPr>
        <w:t xml:space="preserve"> </w:t>
      </w:r>
      <w:proofErr w:type="gramStart"/>
      <w:r w:rsidRPr="00D55C9C">
        <w:rPr>
          <w:color w:val="1D1B11" w:themeColor="background2" w:themeShade="1A"/>
          <w:sz w:val="18"/>
          <w:szCs w:val="18"/>
        </w:rPr>
        <w:t>Structure of compositions</w:t>
      </w:r>
      <w:r w:rsidR="00DF0E86">
        <w:rPr>
          <w:color w:val="1D1B11" w:themeColor="background2" w:themeShade="1A"/>
          <w:sz w:val="18"/>
          <w:szCs w:val="18"/>
        </w:rPr>
        <w:t xml:space="preserve"> with porous magnesia aggregate.</w:t>
      </w:r>
      <w:proofErr w:type="gramEnd"/>
    </w:p>
    <w:p w:rsidR="00613209" w:rsidRPr="00D55C9C" w:rsidRDefault="00D55C9C" w:rsidP="00DB557F">
      <w:pPr>
        <w:pStyle w:val="ae"/>
        <w:widowControl w:val="0"/>
        <w:spacing w:before="0" w:beforeAutospacing="0" w:after="0" w:afterAutospacing="0"/>
        <w:jc w:val="both"/>
        <w:rPr>
          <w:color w:val="1D1B11" w:themeColor="background2" w:themeShade="1A"/>
          <w:spacing w:val="-2"/>
          <w:sz w:val="20"/>
          <w:szCs w:val="20"/>
          <w:lang w:val="en-US"/>
        </w:rPr>
      </w:pPr>
      <w:r w:rsidRPr="00D55C9C">
        <w:rPr>
          <w:sz w:val="20"/>
          <w:szCs w:val="20"/>
          <w:lang w:val="en-US"/>
        </w:rPr>
        <w:t>Granulated magnesia aggregate can be used in coarse-</w:t>
      </w:r>
      <w:proofErr w:type="spellStart"/>
      <w:r w:rsidRPr="00D55C9C">
        <w:rPr>
          <w:sz w:val="20"/>
          <w:szCs w:val="20"/>
          <w:lang w:val="en-US"/>
        </w:rPr>
        <w:t>pored</w:t>
      </w:r>
      <w:proofErr w:type="spellEnd"/>
      <w:r w:rsidRPr="00D55C9C">
        <w:rPr>
          <w:sz w:val="20"/>
          <w:szCs w:val="20"/>
          <w:lang w:val="en-US"/>
        </w:rPr>
        <w:t xml:space="preserve"> concrete with a density of 510 kg/m</w:t>
      </w:r>
      <w:r w:rsidRPr="00D55C9C">
        <w:rPr>
          <w:sz w:val="20"/>
          <w:szCs w:val="20"/>
          <w:vertAlign w:val="superscript"/>
          <w:lang w:val="en-US"/>
        </w:rPr>
        <w:t>3</w:t>
      </w:r>
      <w:r w:rsidRPr="00D55C9C">
        <w:rPr>
          <w:sz w:val="20"/>
          <w:szCs w:val="20"/>
          <w:lang w:val="en-US"/>
        </w:rPr>
        <w:t xml:space="preserve"> and </w:t>
      </w:r>
      <w:proofErr w:type="gramStart"/>
      <w:r w:rsidRPr="00D55C9C">
        <w:rPr>
          <w:sz w:val="20"/>
          <w:szCs w:val="20"/>
          <w:lang w:val="en-US"/>
        </w:rPr>
        <w:t>a strength</w:t>
      </w:r>
      <w:proofErr w:type="gramEnd"/>
      <w:r w:rsidRPr="00D55C9C">
        <w:rPr>
          <w:sz w:val="20"/>
          <w:szCs w:val="20"/>
          <w:lang w:val="en-US"/>
        </w:rPr>
        <w:t xml:space="preserve"> of 2.2 MPa.</w:t>
      </w:r>
    </w:p>
    <w:p w:rsidR="006606C3" w:rsidRPr="00D55C9C" w:rsidRDefault="006606C3" w:rsidP="00D03F87">
      <w:pPr>
        <w:spacing w:before="360" w:after="240" w:line="300" w:lineRule="atLeast"/>
        <w:ind w:firstLine="0"/>
        <w:rPr>
          <w:b/>
          <w:sz w:val="24"/>
          <w:szCs w:val="24"/>
        </w:rPr>
      </w:pPr>
      <w:r w:rsidRPr="00D55C9C">
        <w:rPr>
          <w:b/>
          <w:bCs/>
          <w:sz w:val="24"/>
          <w:szCs w:val="24"/>
        </w:rPr>
        <w:t xml:space="preserve">4 </w:t>
      </w:r>
      <w:proofErr w:type="gramStart"/>
      <w:r w:rsidRPr="0078762E">
        <w:rPr>
          <w:b/>
          <w:bCs/>
          <w:sz w:val="24"/>
          <w:szCs w:val="24"/>
        </w:rPr>
        <w:t>Conclusion</w:t>
      </w:r>
      <w:proofErr w:type="gramEnd"/>
    </w:p>
    <w:p w:rsidR="00D55C9C" w:rsidRDefault="00D55C9C" w:rsidP="00DB557F">
      <w:pPr>
        <w:widowControl w:val="0"/>
        <w:kinsoku w:val="0"/>
        <w:spacing w:line="240" w:lineRule="auto"/>
        <w:ind w:firstLine="0"/>
        <w:rPr>
          <w:color w:val="1D1B11" w:themeColor="background2" w:themeShade="1A"/>
        </w:rPr>
      </w:pPr>
      <w:r w:rsidRPr="00D55C9C">
        <w:rPr>
          <w:color w:val="1D1B11" w:themeColor="background2" w:themeShade="1A"/>
        </w:rPr>
        <w:t>The possibility of creating porous compositions based on mixed magnesia binders and aggregates of different composition and structure is proved. The expediency of combining the mechanisms of foam and gas formation for the formation of a cellular structure is shown. The conditions and advantages of combined structures due to the combination of cellular, granular and fibrous porosity are determined.</w:t>
      </w:r>
    </w:p>
    <w:p w:rsidR="00633215" w:rsidRPr="0078762E" w:rsidRDefault="006606C3" w:rsidP="007412F4">
      <w:pPr>
        <w:widowControl w:val="0"/>
        <w:spacing w:before="360" w:after="240"/>
        <w:ind w:firstLine="0"/>
        <w:rPr>
          <w:b/>
          <w:sz w:val="24"/>
          <w:szCs w:val="24"/>
        </w:rPr>
      </w:pPr>
      <w:r w:rsidRPr="00284003">
        <w:rPr>
          <w:b/>
          <w:sz w:val="24"/>
          <w:szCs w:val="24"/>
        </w:rPr>
        <w:t>5</w:t>
      </w:r>
      <w:r w:rsidR="00633215" w:rsidRPr="0078762E">
        <w:rPr>
          <w:b/>
          <w:sz w:val="24"/>
          <w:szCs w:val="24"/>
        </w:rPr>
        <w:t xml:space="preserve"> Acknowledgement</w:t>
      </w:r>
      <w:r w:rsidR="00DF0E86">
        <w:rPr>
          <w:b/>
          <w:sz w:val="24"/>
          <w:szCs w:val="24"/>
        </w:rPr>
        <w:t>s</w:t>
      </w:r>
    </w:p>
    <w:p w:rsidR="00FF4006" w:rsidRPr="0078762E" w:rsidRDefault="00FF4006" w:rsidP="007412F4">
      <w:pPr>
        <w:widowControl w:val="0"/>
        <w:spacing w:line="240" w:lineRule="auto"/>
        <w:ind w:firstLine="0"/>
      </w:pPr>
      <w:r w:rsidRPr="0078762E">
        <w:rPr>
          <w:bCs/>
        </w:rPr>
        <w:t xml:space="preserve">This research is funded by the Science Committee of the Ministry of Education and Science of the Republic of Kazakhstan (Grant No. </w:t>
      </w:r>
      <w:r w:rsidRPr="0078762E">
        <w:t>AP08856219</w:t>
      </w:r>
      <w:r w:rsidR="00DF0E86">
        <w:rPr>
          <w:bCs/>
        </w:rPr>
        <w:t>).</w:t>
      </w:r>
    </w:p>
    <w:p w:rsidR="00FF4006" w:rsidRPr="0078762E" w:rsidRDefault="00FF4006" w:rsidP="007412F4">
      <w:pPr>
        <w:pStyle w:val="heading1"/>
        <w:keepNext w:val="0"/>
        <w:keepLines w:val="0"/>
        <w:widowControl w:val="0"/>
        <w:numPr>
          <w:ilvl w:val="0"/>
          <w:numId w:val="0"/>
        </w:numPr>
        <w:suppressAutoHyphens w:val="0"/>
        <w:spacing w:line="220" w:lineRule="atLeast"/>
        <w:ind w:left="567" w:hanging="567"/>
      </w:pPr>
      <w:r w:rsidRPr="0078762E">
        <w:lastRenderedPageBreak/>
        <w:t>References</w:t>
      </w:r>
    </w:p>
    <w:p w:rsidR="00D03F87" w:rsidRPr="0051081B" w:rsidRDefault="00D03F87" w:rsidP="00AA66FE">
      <w:pPr>
        <w:pStyle w:val="referenceitem"/>
        <w:widowControl w:val="0"/>
        <w:numPr>
          <w:ilvl w:val="0"/>
          <w:numId w:val="6"/>
        </w:numPr>
        <w:ind w:left="340" w:hanging="113"/>
        <w:rPr>
          <w:i/>
          <w:color w:val="C00000"/>
        </w:rPr>
      </w:pPr>
      <w:r w:rsidRPr="0051081B">
        <w:t xml:space="preserve">Chen L., Wang L., Daniel C.W., Tsang V., </w:t>
      </w:r>
      <w:proofErr w:type="gramStart"/>
      <w:r w:rsidRPr="0051081B">
        <w:t>Chi</w:t>
      </w:r>
      <w:proofErr w:type="gramEnd"/>
      <w:r w:rsidRPr="0051081B">
        <w:t xml:space="preserve"> M., Poon S.: Efficacy of green alternatives and carbon dioxide curing in reactive magnesia cement-bonded particleboards. Journal of Cleaner Production 258, 120997 (2020).</w:t>
      </w:r>
    </w:p>
    <w:p w:rsidR="00D03F87" w:rsidRPr="005A66A8" w:rsidRDefault="00D03F87" w:rsidP="00AA66FE">
      <w:pPr>
        <w:pStyle w:val="referenceitem"/>
        <w:widowControl w:val="0"/>
        <w:numPr>
          <w:ilvl w:val="0"/>
          <w:numId w:val="6"/>
        </w:numPr>
        <w:ind w:left="340" w:hanging="113"/>
        <w:rPr>
          <w:i/>
          <w:color w:val="C00000"/>
          <w:szCs w:val="18"/>
        </w:rPr>
      </w:pPr>
      <w:r w:rsidRPr="005A66A8">
        <w:rPr>
          <w:szCs w:val="18"/>
        </w:rPr>
        <w:t xml:space="preserve">Xu B., Ma H., Hu C.: </w:t>
      </w:r>
      <w:r w:rsidRPr="005A66A8">
        <w:rPr>
          <w:bCs/>
          <w:kern w:val="36"/>
          <w:szCs w:val="18"/>
        </w:rPr>
        <w:t xml:space="preserve">Influence of curing regimes on mechanical properties of magnesium oxychloride cement-based composites. </w:t>
      </w:r>
      <w:hyperlink r:id="rId22" w:tooltip="Go to Construction and Building Materials on ScienceDirect" w:history="1">
        <w:r w:rsidRPr="005A66A8">
          <w:rPr>
            <w:bCs/>
            <w:szCs w:val="18"/>
          </w:rPr>
          <w:t>Construction and Building Materials</w:t>
        </w:r>
      </w:hyperlink>
      <w:r w:rsidRPr="005A66A8">
        <w:rPr>
          <w:szCs w:val="18"/>
        </w:rPr>
        <w:t xml:space="preserve"> 102, 613 – 619 (2016). </w:t>
      </w:r>
    </w:p>
    <w:p w:rsidR="00D03F87" w:rsidRPr="005A66A8" w:rsidRDefault="00D03F87" w:rsidP="00AA66FE">
      <w:pPr>
        <w:pStyle w:val="referenceitem"/>
        <w:widowControl w:val="0"/>
        <w:numPr>
          <w:ilvl w:val="0"/>
          <w:numId w:val="6"/>
        </w:numPr>
        <w:ind w:left="340" w:hanging="113"/>
        <w:rPr>
          <w:szCs w:val="18"/>
        </w:rPr>
      </w:pPr>
      <w:r w:rsidRPr="005A66A8">
        <w:rPr>
          <w:i/>
          <w:color w:val="C00000"/>
          <w:szCs w:val="18"/>
        </w:rPr>
        <w:t xml:space="preserve"> </w:t>
      </w:r>
      <w:r w:rsidRPr="005A66A8">
        <w:rPr>
          <w:szCs w:val="18"/>
        </w:rPr>
        <w:t xml:space="preserve">Ba M., </w:t>
      </w:r>
      <w:proofErr w:type="spellStart"/>
      <w:r w:rsidRPr="005A66A8">
        <w:rPr>
          <w:szCs w:val="18"/>
        </w:rPr>
        <w:t>Xue</w:t>
      </w:r>
      <w:proofErr w:type="spellEnd"/>
      <w:r w:rsidRPr="005A66A8">
        <w:rPr>
          <w:szCs w:val="18"/>
        </w:rPr>
        <w:t xml:space="preserve"> T., He Z., Wang H., Liu J.:</w:t>
      </w:r>
      <w:r w:rsidRPr="005A66A8">
        <w:rPr>
          <w:rStyle w:val="title-text"/>
          <w:rFonts w:eastAsiaTheme="minorEastAsia"/>
          <w:szCs w:val="18"/>
        </w:rPr>
        <w:t xml:space="preserve"> Carbonation of magnesium </w:t>
      </w:r>
      <w:proofErr w:type="spellStart"/>
      <w:r w:rsidRPr="005A66A8">
        <w:rPr>
          <w:rStyle w:val="title-text"/>
          <w:rFonts w:eastAsiaTheme="minorEastAsia"/>
          <w:szCs w:val="18"/>
        </w:rPr>
        <w:t>oxysulfate</w:t>
      </w:r>
      <w:proofErr w:type="spellEnd"/>
      <w:r w:rsidRPr="005A66A8">
        <w:rPr>
          <w:rStyle w:val="title-text"/>
          <w:rFonts w:eastAsiaTheme="minorEastAsia"/>
          <w:szCs w:val="18"/>
        </w:rPr>
        <w:t xml:space="preserve"> cement and its influence on mechanical performance. Construction and Building Materials. 223,</w:t>
      </w:r>
      <w:r w:rsidRPr="005A66A8">
        <w:rPr>
          <w:szCs w:val="18"/>
          <w:lang w:eastAsia="ru-RU"/>
        </w:rPr>
        <w:t xml:space="preserve"> 1030 </w:t>
      </w:r>
      <w:r w:rsidRPr="005A66A8">
        <w:rPr>
          <w:szCs w:val="18"/>
        </w:rPr>
        <w:t>−1037</w:t>
      </w:r>
      <w:r>
        <w:rPr>
          <w:szCs w:val="18"/>
          <w:lang w:val="ru-RU"/>
        </w:rPr>
        <w:t xml:space="preserve"> </w:t>
      </w:r>
      <w:r w:rsidRPr="005A66A8">
        <w:rPr>
          <w:szCs w:val="18"/>
        </w:rPr>
        <w:t>(2019).</w:t>
      </w:r>
    </w:p>
    <w:p w:rsidR="00D03F87" w:rsidRPr="005A66A8" w:rsidRDefault="00D03F87" w:rsidP="00AA66FE">
      <w:pPr>
        <w:pStyle w:val="referenceitem"/>
        <w:widowControl w:val="0"/>
        <w:numPr>
          <w:ilvl w:val="0"/>
          <w:numId w:val="6"/>
        </w:numPr>
        <w:ind w:left="340" w:hanging="113"/>
        <w:rPr>
          <w:szCs w:val="18"/>
        </w:rPr>
      </w:pPr>
      <w:r w:rsidRPr="005A66A8">
        <w:rPr>
          <w:szCs w:val="18"/>
        </w:rPr>
        <w:t xml:space="preserve">Zhu </w:t>
      </w:r>
      <w:proofErr w:type="spellStart"/>
      <w:r w:rsidRPr="005A66A8">
        <w:rPr>
          <w:szCs w:val="18"/>
        </w:rPr>
        <w:t>H.</w:t>
      </w:r>
      <w:proofErr w:type="gramStart"/>
      <w:r w:rsidRPr="005A66A8">
        <w:rPr>
          <w:szCs w:val="18"/>
        </w:rPr>
        <w:t>,Yu</w:t>
      </w:r>
      <w:proofErr w:type="spellEnd"/>
      <w:proofErr w:type="gramEnd"/>
      <w:r w:rsidRPr="005A66A8">
        <w:rPr>
          <w:szCs w:val="18"/>
        </w:rPr>
        <w:t xml:space="preserve"> H., Ma </w:t>
      </w:r>
      <w:proofErr w:type="spellStart"/>
      <w:r w:rsidRPr="005A66A8">
        <w:rPr>
          <w:szCs w:val="18"/>
        </w:rPr>
        <w:t>H.,Yang</w:t>
      </w:r>
      <w:proofErr w:type="spellEnd"/>
      <w:r w:rsidRPr="005A66A8">
        <w:rPr>
          <w:szCs w:val="18"/>
        </w:rPr>
        <w:t xml:space="preserve"> S.: Uniaxial compressive stress-strain curves of magnesium </w:t>
      </w:r>
      <w:proofErr w:type="spellStart"/>
      <w:r w:rsidRPr="005A66A8">
        <w:rPr>
          <w:szCs w:val="18"/>
        </w:rPr>
        <w:t>oxysulfate</w:t>
      </w:r>
      <w:proofErr w:type="spellEnd"/>
      <w:r w:rsidRPr="005A66A8">
        <w:rPr>
          <w:szCs w:val="18"/>
        </w:rPr>
        <w:t xml:space="preserve"> cement concrete .Construction and Building Materials. 232, No 117244</w:t>
      </w:r>
      <w:r>
        <w:rPr>
          <w:szCs w:val="18"/>
          <w:lang w:val="ru-RU"/>
        </w:rPr>
        <w:t xml:space="preserve"> </w:t>
      </w:r>
      <w:r w:rsidRPr="005A66A8">
        <w:rPr>
          <w:szCs w:val="18"/>
        </w:rPr>
        <w:t>(2020).</w:t>
      </w:r>
    </w:p>
    <w:p w:rsidR="00D03F87" w:rsidRPr="005A66A8" w:rsidRDefault="00D03F87" w:rsidP="00AA66FE">
      <w:pPr>
        <w:pStyle w:val="referenceitem"/>
        <w:widowControl w:val="0"/>
        <w:numPr>
          <w:ilvl w:val="0"/>
          <w:numId w:val="6"/>
        </w:numPr>
        <w:ind w:left="340" w:hanging="113"/>
        <w:rPr>
          <w:iCs/>
          <w:szCs w:val="18"/>
        </w:rPr>
      </w:pPr>
      <w:proofErr w:type="spellStart"/>
      <w:r w:rsidRPr="005A66A8">
        <w:rPr>
          <w:szCs w:val="18"/>
        </w:rPr>
        <w:t>Ruan</w:t>
      </w:r>
      <w:proofErr w:type="spellEnd"/>
      <w:r w:rsidRPr="005A66A8">
        <w:rPr>
          <w:szCs w:val="18"/>
        </w:rPr>
        <w:t xml:space="preserve"> S., </w:t>
      </w:r>
      <w:proofErr w:type="spellStart"/>
      <w:r w:rsidRPr="005A66A8">
        <w:rPr>
          <w:szCs w:val="18"/>
        </w:rPr>
        <w:t>Unluer</w:t>
      </w:r>
      <w:proofErr w:type="spellEnd"/>
      <w:r w:rsidRPr="005A66A8">
        <w:rPr>
          <w:szCs w:val="18"/>
        </w:rPr>
        <w:t xml:space="preserve"> C.: Influence of supplementary cementitious materials on the performance and environmental impacts of reactive magnesia cement concrete. Journal of Cleaner Production 159, 62 − 73(2017). </w:t>
      </w:r>
    </w:p>
    <w:p w:rsidR="00D03F87" w:rsidRPr="005A66A8" w:rsidRDefault="00D03F87" w:rsidP="00AA66FE">
      <w:pPr>
        <w:pStyle w:val="referenceitem"/>
        <w:widowControl w:val="0"/>
        <w:numPr>
          <w:ilvl w:val="0"/>
          <w:numId w:val="6"/>
        </w:numPr>
        <w:ind w:left="340" w:hanging="113"/>
        <w:rPr>
          <w:i/>
          <w:color w:val="C00000"/>
          <w:szCs w:val="18"/>
        </w:rPr>
      </w:pPr>
      <w:r w:rsidRPr="005A66A8">
        <w:rPr>
          <w:szCs w:val="18"/>
        </w:rPr>
        <w:t xml:space="preserve">Kumar S., </w:t>
      </w:r>
      <w:proofErr w:type="spellStart"/>
      <w:r w:rsidRPr="005A66A8">
        <w:rPr>
          <w:szCs w:val="18"/>
        </w:rPr>
        <w:t>Sonat</w:t>
      </w:r>
      <w:proofErr w:type="spellEnd"/>
      <w:r w:rsidRPr="005A66A8">
        <w:rPr>
          <w:szCs w:val="18"/>
        </w:rPr>
        <w:t xml:space="preserve"> C., </w:t>
      </w:r>
      <w:proofErr w:type="gramStart"/>
      <w:r w:rsidRPr="005A66A8">
        <w:rPr>
          <w:szCs w:val="18"/>
        </w:rPr>
        <w:t>Yang</w:t>
      </w:r>
      <w:proofErr w:type="gramEnd"/>
      <w:r w:rsidRPr="005A66A8">
        <w:rPr>
          <w:szCs w:val="18"/>
        </w:rPr>
        <w:t xml:space="preserve"> E.-H., </w:t>
      </w:r>
      <w:proofErr w:type="spellStart"/>
      <w:r w:rsidRPr="005A66A8">
        <w:rPr>
          <w:szCs w:val="18"/>
        </w:rPr>
        <w:t>Unluer</w:t>
      </w:r>
      <w:proofErr w:type="spellEnd"/>
      <w:r w:rsidRPr="005A66A8">
        <w:rPr>
          <w:szCs w:val="18"/>
        </w:rPr>
        <w:t xml:space="preserve"> C.: Performance of reactive magnesia cement formulations containing fly ash and ground granulated blast-furnace slag. Construction and Building Materials 232, No 117275 (2020).</w:t>
      </w:r>
    </w:p>
    <w:p w:rsidR="00D03F87" w:rsidRPr="005A66A8" w:rsidRDefault="00D03F87" w:rsidP="00AA66FE">
      <w:pPr>
        <w:pStyle w:val="referenceitem"/>
        <w:widowControl w:val="0"/>
        <w:numPr>
          <w:ilvl w:val="0"/>
          <w:numId w:val="6"/>
        </w:numPr>
        <w:ind w:left="340" w:hanging="113"/>
        <w:rPr>
          <w:szCs w:val="18"/>
        </w:rPr>
      </w:pPr>
      <w:r w:rsidRPr="005A66A8">
        <w:rPr>
          <w:szCs w:val="18"/>
        </w:rPr>
        <w:t>Miryuk О.А.: Properties of magnesium composite materials based on technogenic raw materials. ARPN Journal of Engineering and Applied Sciences. 2(13), 545 −558</w:t>
      </w:r>
      <w:r>
        <w:rPr>
          <w:szCs w:val="18"/>
          <w:lang w:val="ru-RU"/>
        </w:rPr>
        <w:t xml:space="preserve"> </w:t>
      </w:r>
      <w:r>
        <w:rPr>
          <w:szCs w:val="18"/>
        </w:rPr>
        <w:t>(</w:t>
      </w:r>
      <w:r w:rsidRPr="005A66A8">
        <w:rPr>
          <w:szCs w:val="18"/>
        </w:rPr>
        <w:t>2018).</w:t>
      </w:r>
    </w:p>
    <w:p w:rsidR="00D03F87" w:rsidRPr="005A66A8" w:rsidRDefault="00D03F87" w:rsidP="00AA66FE">
      <w:pPr>
        <w:pStyle w:val="referenceitem"/>
        <w:widowControl w:val="0"/>
        <w:numPr>
          <w:ilvl w:val="0"/>
          <w:numId w:val="6"/>
        </w:numPr>
        <w:ind w:left="340" w:hanging="113"/>
        <w:rPr>
          <w:szCs w:val="18"/>
        </w:rPr>
      </w:pPr>
      <w:proofErr w:type="spellStart"/>
      <w:r w:rsidRPr="005A66A8">
        <w:rPr>
          <w:szCs w:val="18"/>
        </w:rPr>
        <w:t>Mitina</w:t>
      </w:r>
      <w:proofErr w:type="spellEnd"/>
      <w:r w:rsidRPr="005A66A8">
        <w:rPr>
          <w:szCs w:val="18"/>
        </w:rPr>
        <w:t xml:space="preserve"> N.A., </w:t>
      </w:r>
      <w:proofErr w:type="spellStart"/>
      <w:r w:rsidRPr="005A66A8">
        <w:rPr>
          <w:szCs w:val="18"/>
        </w:rPr>
        <w:t>Revva</w:t>
      </w:r>
      <w:proofErr w:type="spellEnd"/>
      <w:r w:rsidRPr="005A66A8">
        <w:rPr>
          <w:szCs w:val="18"/>
        </w:rPr>
        <w:t xml:space="preserve"> I.B., </w:t>
      </w:r>
      <w:proofErr w:type="spellStart"/>
      <w:r w:rsidRPr="005A66A8">
        <w:rPr>
          <w:szCs w:val="18"/>
        </w:rPr>
        <w:t>Ditts</w:t>
      </w:r>
      <w:proofErr w:type="spellEnd"/>
      <w:r w:rsidRPr="005A66A8">
        <w:rPr>
          <w:szCs w:val="18"/>
        </w:rPr>
        <w:t xml:space="preserve"> A.A., Simonov D.V.: Waterproof Magnesia Binder for Composite. Materials</w:t>
      </w:r>
      <w:r w:rsidR="00AD33E5" w:rsidRPr="00AD33E5">
        <w:rPr>
          <w:szCs w:val="18"/>
        </w:rPr>
        <w:t>.</w:t>
      </w:r>
      <w:r w:rsidRPr="005A66A8">
        <w:rPr>
          <w:szCs w:val="18"/>
        </w:rPr>
        <w:t xml:space="preserve"> Key Engineering Materials 712, 182 −187</w:t>
      </w:r>
      <w:r w:rsidRPr="00AD33E5">
        <w:rPr>
          <w:szCs w:val="18"/>
        </w:rPr>
        <w:t xml:space="preserve"> </w:t>
      </w:r>
      <w:r w:rsidRPr="005A66A8">
        <w:rPr>
          <w:szCs w:val="18"/>
        </w:rPr>
        <w:t>(2016).</w:t>
      </w:r>
    </w:p>
    <w:p w:rsidR="00D03F87" w:rsidRPr="005A66A8" w:rsidRDefault="00D03F87" w:rsidP="00AA66FE">
      <w:pPr>
        <w:pStyle w:val="referenceitem"/>
        <w:widowControl w:val="0"/>
        <w:numPr>
          <w:ilvl w:val="0"/>
          <w:numId w:val="6"/>
        </w:numPr>
        <w:ind w:left="340" w:hanging="113"/>
        <w:rPr>
          <w:szCs w:val="18"/>
        </w:rPr>
      </w:pPr>
      <w:r w:rsidRPr="005A66A8">
        <w:rPr>
          <w:szCs w:val="18"/>
        </w:rPr>
        <w:t xml:space="preserve">Miryuk О.А.: </w:t>
      </w:r>
      <w:hyperlink r:id="rId23" w:history="1">
        <w:r w:rsidRPr="005A66A8">
          <w:rPr>
            <w:rStyle w:val="a3"/>
          </w:rPr>
          <w:t>Porous magnesia compositions of a combined structure</w:t>
        </w:r>
      </w:hyperlink>
      <w:r w:rsidRPr="005A66A8">
        <w:rPr>
          <w:szCs w:val="18"/>
        </w:rPr>
        <w:t xml:space="preserve">. </w:t>
      </w:r>
      <w:hyperlink r:id="rId24" w:history="1">
        <w:r w:rsidRPr="005A66A8">
          <w:rPr>
            <w:szCs w:val="18"/>
            <w:bdr w:val="none" w:sz="0" w:space="0" w:color="auto" w:frame="1"/>
          </w:rPr>
          <w:t>IOP Conference Series: Materials Science and Engineering</w:t>
        </w:r>
      </w:hyperlink>
      <w:r w:rsidRPr="005A66A8">
        <w:rPr>
          <w:szCs w:val="18"/>
        </w:rPr>
        <w:t xml:space="preserve">. </w:t>
      </w:r>
      <w:hyperlink r:id="rId25" w:history="1">
        <w:r w:rsidRPr="005A66A8">
          <w:rPr>
            <w:szCs w:val="18"/>
            <w:bdr w:val="none" w:sz="0" w:space="0" w:color="auto" w:frame="1"/>
          </w:rPr>
          <w:t>Modern Building Materials</w:t>
        </w:r>
      </w:hyperlink>
      <w:r w:rsidRPr="00D03F87">
        <w:rPr>
          <w:szCs w:val="18"/>
        </w:rPr>
        <w:t xml:space="preserve"> </w:t>
      </w:r>
      <w:r w:rsidRPr="005A66A8">
        <w:rPr>
          <w:szCs w:val="18"/>
        </w:rPr>
        <w:t>365, 032052 (2018).</w:t>
      </w:r>
    </w:p>
    <w:p w:rsidR="00D03F87" w:rsidRPr="000C6B08" w:rsidRDefault="00D03F87" w:rsidP="00AA66FE">
      <w:pPr>
        <w:pStyle w:val="referenceitem"/>
        <w:widowControl w:val="0"/>
        <w:numPr>
          <w:ilvl w:val="0"/>
          <w:numId w:val="6"/>
        </w:numPr>
        <w:ind w:left="340" w:hanging="113"/>
        <w:rPr>
          <w:szCs w:val="18"/>
        </w:rPr>
      </w:pPr>
      <w:proofErr w:type="spellStart"/>
      <w:r w:rsidRPr="000C6B08">
        <w:rPr>
          <w:szCs w:val="18"/>
        </w:rPr>
        <w:t>Xiangming</w:t>
      </w:r>
      <w:proofErr w:type="spellEnd"/>
      <w:r w:rsidRPr="000C6B08">
        <w:rPr>
          <w:szCs w:val="18"/>
        </w:rPr>
        <w:t xml:space="preserve"> Z., </w:t>
      </w:r>
      <w:proofErr w:type="spellStart"/>
      <w:r w:rsidRPr="000C6B08">
        <w:rPr>
          <w:szCs w:val="18"/>
        </w:rPr>
        <w:t>Zongjin</w:t>
      </w:r>
      <w:proofErr w:type="spellEnd"/>
      <w:r w:rsidRPr="000C6B08">
        <w:rPr>
          <w:szCs w:val="18"/>
        </w:rPr>
        <w:t xml:space="preserve"> L.: Light-weight wood-magnesium oxychloride cement </w:t>
      </w:r>
      <w:proofErr w:type="gramStart"/>
      <w:r w:rsidRPr="000C6B08">
        <w:rPr>
          <w:szCs w:val="18"/>
        </w:rPr>
        <w:t>composite  building</w:t>
      </w:r>
      <w:proofErr w:type="gramEnd"/>
      <w:r w:rsidRPr="000C6B08">
        <w:rPr>
          <w:szCs w:val="18"/>
        </w:rPr>
        <w:t xml:space="preserve"> products made by extrusion. Constructi</w:t>
      </w:r>
      <w:r w:rsidR="00AD33E5">
        <w:rPr>
          <w:szCs w:val="18"/>
        </w:rPr>
        <w:t>on and Building Materials</w:t>
      </w:r>
      <w:r>
        <w:rPr>
          <w:szCs w:val="18"/>
        </w:rPr>
        <w:t xml:space="preserve"> 27, </w:t>
      </w:r>
      <w:r w:rsidRPr="000C6B08">
        <w:rPr>
          <w:szCs w:val="18"/>
        </w:rPr>
        <w:t>382 – 389 (2012).</w:t>
      </w:r>
    </w:p>
    <w:sectPr w:rsidR="00D03F87" w:rsidRPr="000C6B08" w:rsidSect="004A08E5">
      <w:headerReference w:type="even" r:id="rId26"/>
      <w:pgSz w:w="11906" w:h="16838" w:code="9"/>
      <w:pgMar w:top="2948" w:right="2495" w:bottom="2948" w:left="2495" w:header="2381" w:footer="2325" w:gutter="0"/>
      <w:cols w:space="227"/>
      <w:titlePg/>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AA3" w:rsidRDefault="00C73AA3" w:rsidP="00465F77">
      <w:pPr>
        <w:spacing w:line="240" w:lineRule="auto"/>
      </w:pPr>
      <w:r>
        <w:separator/>
      </w:r>
    </w:p>
  </w:endnote>
  <w:endnote w:type="continuationSeparator" w:id="0">
    <w:p w:rsidR="00C73AA3" w:rsidRDefault="00C73AA3" w:rsidP="00465F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AA3" w:rsidRDefault="00C73AA3" w:rsidP="00465F77">
      <w:pPr>
        <w:spacing w:line="240" w:lineRule="auto"/>
      </w:pPr>
      <w:r>
        <w:separator/>
      </w:r>
    </w:p>
  </w:footnote>
  <w:footnote w:type="continuationSeparator" w:id="0">
    <w:p w:rsidR="00C73AA3" w:rsidRDefault="00C73AA3" w:rsidP="00465F7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209" w:rsidRDefault="00F83DFF" w:rsidP="009D57D8">
    <w:pPr>
      <w:pStyle w:val="a4"/>
    </w:pPr>
    <w:r>
      <w:fldChar w:fldCharType="begin"/>
    </w:r>
    <w:r w:rsidR="008A1A40">
      <w:instrText>PAGE   \* MERGEFORMAT</w:instrText>
    </w:r>
    <w:r>
      <w:fldChar w:fldCharType="separate"/>
    </w:r>
    <w:r w:rsidR="00613209">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25458F"/>
    <w:multiLevelType w:val="hybridMultilevel"/>
    <w:tmpl w:val="60F034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449E2D74"/>
    <w:multiLevelType w:val="hybridMultilevel"/>
    <w:tmpl w:val="E83E3E06"/>
    <w:lvl w:ilvl="0" w:tplc="FC3C5428">
      <w:start w:val="1"/>
      <w:numFmt w:val="decimal"/>
      <w:lvlText w:val="%1."/>
      <w:lvlJc w:val="left"/>
      <w:pPr>
        <w:ind w:left="36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46B5EF7"/>
    <w:multiLevelType w:val="hybridMultilevel"/>
    <w:tmpl w:val="FBD023C8"/>
    <w:lvl w:ilvl="0" w:tplc="430EC8B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3"/>
  </w:num>
  <w:num w:numId="2">
    <w:abstractNumId w:val="4"/>
  </w:num>
  <w:num w:numId="3">
    <w:abstractNumId w:val="2"/>
  </w:num>
  <w:num w:numId="4">
    <w:abstractNumId w:val="1"/>
  </w:num>
  <w:num w:numId="5">
    <w:abstractNumId w:val="0"/>
  </w:num>
  <w:num w:numId="6">
    <w:abstractNumId w:val="4"/>
    <w:lvlOverride w:ilvl="0">
      <w:lvl w:ilvl="0">
        <w:start w:val="1"/>
        <w:numFmt w:val="decimal"/>
        <w:pStyle w:val="referenceitem"/>
        <w:lvlText w:val="%1."/>
        <w:lvlJc w:val="right"/>
        <w:pPr>
          <w:tabs>
            <w:tab w:val="num" w:pos="341"/>
          </w:tabs>
          <w:ind w:left="341" w:hanging="114"/>
        </w:pPr>
        <w:rPr>
          <w:rFonts w:hint="default"/>
          <w:i w:val="0"/>
          <w:color w:val="auto"/>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32D96"/>
    <w:rsid w:val="00063012"/>
    <w:rsid w:val="0016055C"/>
    <w:rsid w:val="00162737"/>
    <w:rsid w:val="001657C8"/>
    <w:rsid w:val="00197F84"/>
    <w:rsid w:val="001B411B"/>
    <w:rsid w:val="002111EC"/>
    <w:rsid w:val="00271511"/>
    <w:rsid w:val="002838C0"/>
    <w:rsid w:val="00284003"/>
    <w:rsid w:val="002A2707"/>
    <w:rsid w:val="002F2B5F"/>
    <w:rsid w:val="00365C9F"/>
    <w:rsid w:val="00394636"/>
    <w:rsid w:val="003A2BDE"/>
    <w:rsid w:val="004202FA"/>
    <w:rsid w:val="004306B5"/>
    <w:rsid w:val="00465F77"/>
    <w:rsid w:val="004A08E5"/>
    <w:rsid w:val="004A74B1"/>
    <w:rsid w:val="005022BF"/>
    <w:rsid w:val="005709B4"/>
    <w:rsid w:val="00570CE4"/>
    <w:rsid w:val="00574140"/>
    <w:rsid w:val="005D65C9"/>
    <w:rsid w:val="00600ACE"/>
    <w:rsid w:val="00613209"/>
    <w:rsid w:val="00633215"/>
    <w:rsid w:val="006606C3"/>
    <w:rsid w:val="00697E8B"/>
    <w:rsid w:val="006A4252"/>
    <w:rsid w:val="006D115C"/>
    <w:rsid w:val="006E5370"/>
    <w:rsid w:val="00732D96"/>
    <w:rsid w:val="007412F4"/>
    <w:rsid w:val="0078762E"/>
    <w:rsid w:val="007954D8"/>
    <w:rsid w:val="007A497B"/>
    <w:rsid w:val="007F07C2"/>
    <w:rsid w:val="007F15D0"/>
    <w:rsid w:val="008A1A40"/>
    <w:rsid w:val="009773FB"/>
    <w:rsid w:val="00987C60"/>
    <w:rsid w:val="009901D4"/>
    <w:rsid w:val="0099615D"/>
    <w:rsid w:val="009970B1"/>
    <w:rsid w:val="009D57D8"/>
    <w:rsid w:val="00A32E5D"/>
    <w:rsid w:val="00AA66FE"/>
    <w:rsid w:val="00AB23C8"/>
    <w:rsid w:val="00AD33E5"/>
    <w:rsid w:val="00B11A94"/>
    <w:rsid w:val="00B17605"/>
    <w:rsid w:val="00B30C69"/>
    <w:rsid w:val="00B31C85"/>
    <w:rsid w:val="00B324E8"/>
    <w:rsid w:val="00B74856"/>
    <w:rsid w:val="00B90BAF"/>
    <w:rsid w:val="00B91459"/>
    <w:rsid w:val="00C17BA9"/>
    <w:rsid w:val="00C73AA3"/>
    <w:rsid w:val="00C85595"/>
    <w:rsid w:val="00D03F87"/>
    <w:rsid w:val="00D55C9C"/>
    <w:rsid w:val="00DB557F"/>
    <w:rsid w:val="00DB6899"/>
    <w:rsid w:val="00DE275B"/>
    <w:rsid w:val="00DF0E86"/>
    <w:rsid w:val="00E8434E"/>
    <w:rsid w:val="00E850E0"/>
    <w:rsid w:val="00E85CF1"/>
    <w:rsid w:val="00EA56EA"/>
    <w:rsid w:val="00F07363"/>
    <w:rsid w:val="00F21FD0"/>
    <w:rsid w:val="00F54214"/>
    <w:rsid w:val="00F73DF3"/>
    <w:rsid w:val="00F83DFF"/>
    <w:rsid w:val="00F857F3"/>
    <w:rsid w:val="00FF40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4E8"/>
    <w:pPr>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sz w:val="20"/>
      <w:szCs w:val="20"/>
      <w:lang w:val="en-US"/>
    </w:rPr>
  </w:style>
  <w:style w:type="paragraph" w:styleId="1">
    <w:name w:val="heading 1"/>
    <w:basedOn w:val="a"/>
    <w:next w:val="a"/>
    <w:link w:val="10"/>
    <w:uiPriority w:val="9"/>
    <w:qFormat/>
    <w:rsid w:val="00DB557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B324E8"/>
    <w:pPr>
      <w:spacing w:before="360"/>
      <w:ind w:firstLine="0"/>
      <w:outlineLvl w:val="2"/>
    </w:pPr>
  </w:style>
  <w:style w:type="paragraph" w:styleId="4">
    <w:name w:val="heading 4"/>
    <w:basedOn w:val="a"/>
    <w:next w:val="a"/>
    <w:link w:val="40"/>
    <w:qFormat/>
    <w:rsid w:val="00B324E8"/>
    <w:pPr>
      <w:spacing w:before="240"/>
      <w:ind w:firstLine="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B324E8"/>
    <w:rPr>
      <w:rFonts w:ascii="Times New Roman" w:eastAsia="Times New Roman" w:hAnsi="Times New Roman" w:cs="Times New Roman"/>
      <w:sz w:val="20"/>
      <w:szCs w:val="20"/>
      <w:lang w:val="en-US"/>
    </w:rPr>
  </w:style>
  <w:style w:type="character" w:customStyle="1" w:styleId="40">
    <w:name w:val="Заголовок 4 Знак"/>
    <w:basedOn w:val="a0"/>
    <w:link w:val="4"/>
    <w:rsid w:val="00B324E8"/>
    <w:rPr>
      <w:rFonts w:ascii="Times New Roman" w:eastAsia="Times New Roman" w:hAnsi="Times New Roman" w:cs="Times New Roman"/>
      <w:sz w:val="20"/>
      <w:szCs w:val="20"/>
      <w:lang w:val="en-US"/>
    </w:rPr>
  </w:style>
  <w:style w:type="paragraph" w:customStyle="1" w:styleId="abstract">
    <w:name w:val="abstract"/>
    <w:basedOn w:val="a"/>
    <w:rsid w:val="00B324E8"/>
    <w:pPr>
      <w:spacing w:before="600" w:after="360" w:line="220" w:lineRule="atLeast"/>
      <w:ind w:left="567" w:right="567"/>
      <w:contextualSpacing/>
    </w:pPr>
    <w:rPr>
      <w:sz w:val="18"/>
    </w:rPr>
  </w:style>
  <w:style w:type="paragraph" w:customStyle="1" w:styleId="address">
    <w:name w:val="address"/>
    <w:basedOn w:val="a"/>
    <w:rsid w:val="00B324E8"/>
    <w:pPr>
      <w:spacing w:after="200" w:line="220" w:lineRule="atLeast"/>
      <w:ind w:firstLine="0"/>
      <w:contextualSpacing/>
      <w:jc w:val="center"/>
    </w:pPr>
    <w:rPr>
      <w:sz w:val="18"/>
    </w:rPr>
  </w:style>
  <w:style w:type="paragraph" w:customStyle="1" w:styleId="author">
    <w:name w:val="author"/>
    <w:basedOn w:val="a"/>
    <w:next w:val="address"/>
    <w:rsid w:val="00B324E8"/>
    <w:pPr>
      <w:spacing w:after="200" w:line="220" w:lineRule="atLeast"/>
      <w:ind w:firstLine="0"/>
      <w:jc w:val="center"/>
    </w:pPr>
  </w:style>
  <w:style w:type="character" w:customStyle="1" w:styleId="e-mail">
    <w:name w:val="e-mail"/>
    <w:rsid w:val="00B324E8"/>
    <w:rPr>
      <w:rFonts w:ascii="Courier" w:hAnsi="Courier"/>
      <w:noProof/>
    </w:rPr>
  </w:style>
  <w:style w:type="paragraph" w:customStyle="1" w:styleId="equation">
    <w:name w:val="equation"/>
    <w:basedOn w:val="a"/>
    <w:next w:val="a"/>
    <w:rsid w:val="00B324E8"/>
    <w:pPr>
      <w:tabs>
        <w:tab w:val="center" w:pos="3289"/>
        <w:tab w:val="right" w:pos="6917"/>
      </w:tabs>
      <w:spacing w:before="160" w:after="160"/>
      <w:ind w:firstLine="0"/>
    </w:pPr>
  </w:style>
  <w:style w:type="paragraph" w:customStyle="1" w:styleId="figurecaption">
    <w:name w:val="figurecaption"/>
    <w:basedOn w:val="a"/>
    <w:next w:val="a"/>
    <w:rsid w:val="00B324E8"/>
    <w:pPr>
      <w:keepLines/>
      <w:spacing w:before="120" w:after="240" w:line="220" w:lineRule="atLeast"/>
      <w:ind w:firstLine="0"/>
      <w:jc w:val="center"/>
    </w:pPr>
    <w:rPr>
      <w:sz w:val="18"/>
    </w:rPr>
  </w:style>
  <w:style w:type="paragraph" w:customStyle="1" w:styleId="heading1">
    <w:name w:val="heading1"/>
    <w:basedOn w:val="a"/>
    <w:next w:val="p1a"/>
    <w:qFormat/>
    <w:rsid w:val="00B324E8"/>
    <w:pPr>
      <w:keepNext/>
      <w:keepLines/>
      <w:numPr>
        <w:numId w:val="1"/>
      </w:numPr>
      <w:suppressAutoHyphens/>
      <w:spacing w:before="360" w:after="240" w:line="300" w:lineRule="atLeast"/>
      <w:jc w:val="left"/>
      <w:outlineLvl w:val="0"/>
    </w:pPr>
    <w:rPr>
      <w:b/>
      <w:sz w:val="24"/>
    </w:rPr>
  </w:style>
  <w:style w:type="paragraph" w:customStyle="1" w:styleId="heading2">
    <w:name w:val="heading2"/>
    <w:basedOn w:val="a"/>
    <w:next w:val="p1a"/>
    <w:qFormat/>
    <w:rsid w:val="00B324E8"/>
    <w:pPr>
      <w:keepNext/>
      <w:keepLines/>
      <w:numPr>
        <w:ilvl w:val="1"/>
        <w:numId w:val="1"/>
      </w:numPr>
      <w:suppressAutoHyphens/>
      <w:spacing w:before="360" w:after="160"/>
      <w:jc w:val="left"/>
      <w:outlineLvl w:val="1"/>
    </w:pPr>
    <w:rPr>
      <w:b/>
    </w:rPr>
  </w:style>
  <w:style w:type="character" w:customStyle="1" w:styleId="heading3">
    <w:name w:val="heading3"/>
    <w:rsid w:val="00B324E8"/>
    <w:rPr>
      <w:b/>
    </w:rPr>
  </w:style>
  <w:style w:type="character" w:customStyle="1" w:styleId="heading4">
    <w:name w:val="heading4"/>
    <w:rsid w:val="00B324E8"/>
    <w:rPr>
      <w:i/>
    </w:rPr>
  </w:style>
  <w:style w:type="numbering" w:customStyle="1" w:styleId="headings">
    <w:name w:val="headings"/>
    <w:basedOn w:val="a2"/>
    <w:rsid w:val="00B324E8"/>
    <w:pPr>
      <w:numPr>
        <w:numId w:val="1"/>
      </w:numPr>
    </w:pPr>
  </w:style>
  <w:style w:type="character" w:styleId="a3">
    <w:name w:val="Hyperlink"/>
    <w:unhideWhenUsed/>
    <w:rsid w:val="00B324E8"/>
    <w:rPr>
      <w:color w:val="auto"/>
      <w:u w:val="none"/>
    </w:rPr>
  </w:style>
  <w:style w:type="paragraph" w:customStyle="1" w:styleId="keywords">
    <w:name w:val="keywords"/>
    <w:basedOn w:val="abstract"/>
    <w:next w:val="heading1"/>
    <w:rsid w:val="00B324E8"/>
    <w:pPr>
      <w:spacing w:before="220"/>
      <w:ind w:firstLine="0"/>
      <w:contextualSpacing w:val="0"/>
      <w:jc w:val="left"/>
    </w:pPr>
  </w:style>
  <w:style w:type="paragraph" w:styleId="a4">
    <w:name w:val="header"/>
    <w:basedOn w:val="a"/>
    <w:link w:val="a5"/>
    <w:unhideWhenUsed/>
    <w:rsid w:val="00B324E8"/>
    <w:pPr>
      <w:tabs>
        <w:tab w:val="center" w:pos="4536"/>
        <w:tab w:val="right" w:pos="9072"/>
      </w:tabs>
      <w:ind w:firstLine="0"/>
    </w:pPr>
    <w:rPr>
      <w:sz w:val="18"/>
      <w:szCs w:val="18"/>
    </w:rPr>
  </w:style>
  <w:style w:type="character" w:customStyle="1" w:styleId="a5">
    <w:name w:val="Верхний колонтитул Знак"/>
    <w:basedOn w:val="a0"/>
    <w:link w:val="a4"/>
    <w:rsid w:val="00B324E8"/>
    <w:rPr>
      <w:rFonts w:ascii="Times New Roman" w:eastAsia="Times New Roman" w:hAnsi="Times New Roman" w:cs="Times New Roman"/>
      <w:sz w:val="18"/>
      <w:szCs w:val="18"/>
      <w:lang w:val="en-US"/>
    </w:rPr>
  </w:style>
  <w:style w:type="paragraph" w:customStyle="1" w:styleId="p1a">
    <w:name w:val="p1a"/>
    <w:basedOn w:val="a"/>
    <w:next w:val="a"/>
    <w:rsid w:val="00B324E8"/>
    <w:pPr>
      <w:ind w:firstLine="0"/>
    </w:pPr>
  </w:style>
  <w:style w:type="paragraph" w:customStyle="1" w:styleId="referenceitem">
    <w:name w:val="referenceitem"/>
    <w:basedOn w:val="a"/>
    <w:rsid w:val="00B324E8"/>
    <w:pPr>
      <w:numPr>
        <w:numId w:val="2"/>
      </w:numPr>
      <w:spacing w:line="220" w:lineRule="atLeast"/>
    </w:pPr>
    <w:rPr>
      <w:sz w:val="18"/>
    </w:rPr>
  </w:style>
  <w:style w:type="numbering" w:customStyle="1" w:styleId="referencelist">
    <w:name w:val="referencelist"/>
    <w:basedOn w:val="a2"/>
    <w:semiHidden/>
    <w:rsid w:val="00B324E8"/>
    <w:pPr>
      <w:numPr>
        <w:numId w:val="2"/>
      </w:numPr>
    </w:pPr>
  </w:style>
  <w:style w:type="paragraph" w:customStyle="1" w:styleId="papertitle">
    <w:name w:val="papertitle"/>
    <w:basedOn w:val="a"/>
    <w:next w:val="author"/>
    <w:rsid w:val="00B324E8"/>
    <w:pPr>
      <w:keepNext/>
      <w:keepLines/>
      <w:suppressAutoHyphens/>
      <w:spacing w:after="480" w:line="360" w:lineRule="atLeast"/>
      <w:ind w:firstLine="0"/>
      <w:jc w:val="center"/>
    </w:pPr>
    <w:rPr>
      <w:b/>
      <w:sz w:val="28"/>
    </w:rPr>
  </w:style>
  <w:style w:type="paragraph" w:customStyle="1" w:styleId="tablecaption">
    <w:name w:val="tablecaption"/>
    <w:basedOn w:val="a"/>
    <w:next w:val="a"/>
    <w:rsid w:val="00B324E8"/>
    <w:pPr>
      <w:keepNext/>
      <w:keepLines/>
      <w:spacing w:before="240" w:after="120" w:line="220" w:lineRule="atLeast"/>
      <w:ind w:firstLine="0"/>
      <w:jc w:val="center"/>
    </w:pPr>
    <w:rPr>
      <w:sz w:val="18"/>
    </w:rPr>
  </w:style>
  <w:style w:type="character" w:customStyle="1" w:styleId="ORCID">
    <w:name w:val="ORCID"/>
    <w:rsid w:val="00B324E8"/>
    <w:rPr>
      <w:position w:val="0"/>
      <w:vertAlign w:val="superscript"/>
    </w:rPr>
  </w:style>
  <w:style w:type="paragraph" w:styleId="a6">
    <w:name w:val="Balloon Text"/>
    <w:basedOn w:val="a"/>
    <w:link w:val="a7"/>
    <w:uiPriority w:val="99"/>
    <w:semiHidden/>
    <w:unhideWhenUsed/>
    <w:rsid w:val="00B324E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24E8"/>
    <w:rPr>
      <w:rFonts w:ascii="Tahoma" w:eastAsia="Times New Roman" w:hAnsi="Tahoma" w:cs="Tahoma"/>
      <w:sz w:val="16"/>
      <w:szCs w:val="16"/>
      <w:lang w:val="en-US"/>
    </w:rPr>
  </w:style>
  <w:style w:type="character" w:customStyle="1" w:styleId="bodyplain1">
    <w:name w:val="bodyplain1"/>
    <w:basedOn w:val="a0"/>
    <w:rsid w:val="00DE275B"/>
    <w:rPr>
      <w:rFonts w:ascii="Verdana" w:hAnsi="Verdana" w:hint="default"/>
      <w:b w:val="0"/>
      <w:bCs w:val="0"/>
      <w:i w:val="0"/>
      <w:iCs w:val="0"/>
      <w:color w:val="000000"/>
      <w:sz w:val="18"/>
      <w:szCs w:val="18"/>
    </w:rPr>
  </w:style>
  <w:style w:type="table" w:styleId="a8">
    <w:name w:val="Table Grid"/>
    <w:basedOn w:val="a1"/>
    <w:uiPriority w:val="59"/>
    <w:rsid w:val="00EA56EA"/>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16055C"/>
    <w:pPr>
      <w:spacing w:after="0" w:line="240" w:lineRule="auto"/>
    </w:pPr>
    <w:rPr>
      <w:rFonts w:ascii="Calibri" w:eastAsia="Times New Roman" w:hAnsi="Calibri" w:cs="Times New Roman"/>
    </w:rPr>
  </w:style>
  <w:style w:type="character" w:customStyle="1" w:styleId="aa">
    <w:name w:val="Без интервала Знак"/>
    <w:basedOn w:val="a0"/>
    <w:link w:val="a9"/>
    <w:uiPriority w:val="1"/>
    <w:rsid w:val="0016055C"/>
    <w:rPr>
      <w:rFonts w:ascii="Calibri" w:eastAsia="Times New Roman" w:hAnsi="Calibri" w:cs="Times New Roman"/>
    </w:rPr>
  </w:style>
  <w:style w:type="paragraph" w:styleId="ab">
    <w:name w:val="List Paragraph"/>
    <w:basedOn w:val="a"/>
    <w:uiPriority w:val="34"/>
    <w:qFormat/>
    <w:rsid w:val="00B17605"/>
    <w:pPr>
      <w:overflowPunct/>
      <w:autoSpaceDE/>
      <w:autoSpaceDN/>
      <w:adjustRightInd/>
      <w:spacing w:line="240" w:lineRule="auto"/>
      <w:ind w:left="720" w:firstLine="0"/>
      <w:contextualSpacing/>
      <w:jc w:val="left"/>
      <w:textAlignment w:val="auto"/>
    </w:pPr>
    <w:rPr>
      <w:rFonts w:eastAsiaTheme="minorHAnsi"/>
      <w:sz w:val="24"/>
      <w:szCs w:val="22"/>
      <w:lang w:val="ru-RU"/>
    </w:rPr>
  </w:style>
  <w:style w:type="character" w:customStyle="1" w:styleId="title-text">
    <w:name w:val="title-text"/>
    <w:basedOn w:val="a0"/>
    <w:rsid w:val="00B17605"/>
  </w:style>
  <w:style w:type="character" w:customStyle="1" w:styleId="text">
    <w:name w:val="text"/>
    <w:basedOn w:val="a0"/>
    <w:rsid w:val="002838C0"/>
  </w:style>
  <w:style w:type="character" w:customStyle="1" w:styleId="author-ref">
    <w:name w:val="author-ref"/>
    <w:basedOn w:val="a0"/>
    <w:rsid w:val="002838C0"/>
  </w:style>
  <w:style w:type="paragraph" w:styleId="ac">
    <w:name w:val="Body Text Indent"/>
    <w:basedOn w:val="a"/>
    <w:link w:val="ad"/>
    <w:rsid w:val="00613209"/>
    <w:pPr>
      <w:overflowPunct/>
      <w:autoSpaceDE/>
      <w:autoSpaceDN/>
      <w:adjustRightInd/>
      <w:spacing w:after="120" w:line="276" w:lineRule="auto"/>
      <w:ind w:left="283" w:firstLine="0"/>
      <w:jc w:val="left"/>
      <w:textAlignment w:val="auto"/>
    </w:pPr>
    <w:rPr>
      <w:rFonts w:ascii="Calibri" w:eastAsia="Calibri" w:hAnsi="Calibri"/>
      <w:sz w:val="22"/>
      <w:szCs w:val="22"/>
      <w:lang w:val="ru-RU"/>
    </w:rPr>
  </w:style>
  <w:style w:type="character" w:customStyle="1" w:styleId="ad">
    <w:name w:val="Основной текст с отступом Знак"/>
    <w:basedOn w:val="a0"/>
    <w:link w:val="ac"/>
    <w:rsid w:val="00613209"/>
    <w:rPr>
      <w:rFonts w:ascii="Calibri" w:eastAsia="Calibri" w:hAnsi="Calibri" w:cs="Times New Roman"/>
    </w:rPr>
  </w:style>
  <w:style w:type="paragraph" w:styleId="ae">
    <w:name w:val="Normal (Web)"/>
    <w:basedOn w:val="a"/>
    <w:unhideWhenUsed/>
    <w:rsid w:val="00613209"/>
    <w:pPr>
      <w:overflowPunct/>
      <w:autoSpaceDE/>
      <w:autoSpaceDN/>
      <w:adjustRightInd/>
      <w:spacing w:before="100" w:beforeAutospacing="1" w:after="100" w:afterAutospacing="1" w:line="240" w:lineRule="auto"/>
      <w:ind w:firstLine="0"/>
      <w:jc w:val="left"/>
      <w:textAlignment w:val="auto"/>
    </w:pPr>
    <w:rPr>
      <w:sz w:val="24"/>
      <w:szCs w:val="24"/>
      <w:lang w:val="ru-RU" w:eastAsia="ru-RU"/>
    </w:rPr>
  </w:style>
  <w:style w:type="character" w:customStyle="1" w:styleId="10">
    <w:name w:val="Заголовок 1 Знак"/>
    <w:basedOn w:val="a0"/>
    <w:link w:val="1"/>
    <w:uiPriority w:val="9"/>
    <w:rsid w:val="00DB557F"/>
    <w:rPr>
      <w:rFonts w:asciiTheme="majorHAnsi" w:eastAsiaTheme="majorEastAsia" w:hAnsiTheme="majorHAnsi" w:cstheme="majorBidi"/>
      <w:b/>
      <w:bCs/>
      <w:color w:val="365F91" w:themeColor="accent1" w:themeShade="BF"/>
      <w:sz w:val="28"/>
      <w:szCs w:val="28"/>
      <w:lang w:val="en-US"/>
    </w:rPr>
  </w:style>
  <w:style w:type="character" w:customStyle="1" w:styleId="sr-only">
    <w:name w:val="sr-only"/>
    <w:basedOn w:val="a0"/>
    <w:rsid w:val="00DB557F"/>
  </w:style>
  <w:style w:type="paragraph" w:styleId="af">
    <w:name w:val="footer"/>
    <w:basedOn w:val="a"/>
    <w:link w:val="af0"/>
    <w:uiPriority w:val="99"/>
    <w:unhideWhenUsed/>
    <w:rsid w:val="00DF0E86"/>
    <w:pPr>
      <w:tabs>
        <w:tab w:val="center" w:pos="4677"/>
        <w:tab w:val="right" w:pos="9355"/>
      </w:tabs>
      <w:spacing w:line="240" w:lineRule="auto"/>
    </w:pPr>
  </w:style>
  <w:style w:type="character" w:customStyle="1" w:styleId="af0">
    <w:name w:val="Нижний колонтитул Знак"/>
    <w:basedOn w:val="a0"/>
    <w:link w:val="af"/>
    <w:uiPriority w:val="99"/>
    <w:rsid w:val="00DF0E86"/>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4E8"/>
    <w:pPr>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sz w:val="20"/>
      <w:szCs w:val="20"/>
      <w:lang w:val="en-US"/>
    </w:rPr>
  </w:style>
  <w:style w:type="paragraph" w:styleId="3">
    <w:name w:val="heading 3"/>
    <w:basedOn w:val="a"/>
    <w:next w:val="a"/>
    <w:link w:val="30"/>
    <w:qFormat/>
    <w:rsid w:val="00B324E8"/>
    <w:pPr>
      <w:spacing w:before="360"/>
      <w:ind w:firstLine="0"/>
      <w:outlineLvl w:val="2"/>
    </w:pPr>
  </w:style>
  <w:style w:type="paragraph" w:styleId="4">
    <w:name w:val="heading 4"/>
    <w:basedOn w:val="a"/>
    <w:next w:val="a"/>
    <w:link w:val="40"/>
    <w:qFormat/>
    <w:rsid w:val="00B324E8"/>
    <w:pPr>
      <w:spacing w:before="240"/>
      <w:ind w:firstLine="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B324E8"/>
    <w:rPr>
      <w:rFonts w:ascii="Times New Roman" w:eastAsia="Times New Roman" w:hAnsi="Times New Roman" w:cs="Times New Roman"/>
      <w:sz w:val="20"/>
      <w:szCs w:val="20"/>
      <w:lang w:val="en-US"/>
    </w:rPr>
  </w:style>
  <w:style w:type="character" w:customStyle="1" w:styleId="40">
    <w:name w:val="Заголовок 4 Знак"/>
    <w:basedOn w:val="a0"/>
    <w:link w:val="4"/>
    <w:rsid w:val="00B324E8"/>
    <w:rPr>
      <w:rFonts w:ascii="Times New Roman" w:eastAsia="Times New Roman" w:hAnsi="Times New Roman" w:cs="Times New Roman"/>
      <w:sz w:val="20"/>
      <w:szCs w:val="20"/>
      <w:lang w:val="en-US"/>
    </w:rPr>
  </w:style>
  <w:style w:type="paragraph" w:customStyle="1" w:styleId="abstract">
    <w:name w:val="abstract"/>
    <w:basedOn w:val="a"/>
    <w:rsid w:val="00B324E8"/>
    <w:pPr>
      <w:spacing w:before="600" w:after="360" w:line="220" w:lineRule="atLeast"/>
      <w:ind w:left="567" w:right="567"/>
      <w:contextualSpacing/>
    </w:pPr>
    <w:rPr>
      <w:sz w:val="18"/>
    </w:rPr>
  </w:style>
  <w:style w:type="paragraph" w:customStyle="1" w:styleId="address">
    <w:name w:val="address"/>
    <w:basedOn w:val="a"/>
    <w:rsid w:val="00B324E8"/>
    <w:pPr>
      <w:spacing w:after="200" w:line="220" w:lineRule="atLeast"/>
      <w:ind w:firstLine="0"/>
      <w:contextualSpacing/>
      <w:jc w:val="center"/>
    </w:pPr>
    <w:rPr>
      <w:sz w:val="18"/>
    </w:rPr>
  </w:style>
  <w:style w:type="paragraph" w:customStyle="1" w:styleId="author">
    <w:name w:val="author"/>
    <w:basedOn w:val="a"/>
    <w:next w:val="address"/>
    <w:rsid w:val="00B324E8"/>
    <w:pPr>
      <w:spacing w:after="200" w:line="220" w:lineRule="atLeast"/>
      <w:ind w:firstLine="0"/>
      <w:jc w:val="center"/>
    </w:pPr>
  </w:style>
  <w:style w:type="character" w:customStyle="1" w:styleId="e-mail">
    <w:name w:val="e-mail"/>
    <w:rsid w:val="00B324E8"/>
    <w:rPr>
      <w:rFonts w:ascii="Courier" w:hAnsi="Courier"/>
      <w:noProof/>
    </w:rPr>
  </w:style>
  <w:style w:type="paragraph" w:customStyle="1" w:styleId="equation">
    <w:name w:val="equation"/>
    <w:basedOn w:val="a"/>
    <w:next w:val="a"/>
    <w:rsid w:val="00B324E8"/>
    <w:pPr>
      <w:tabs>
        <w:tab w:val="center" w:pos="3289"/>
        <w:tab w:val="right" w:pos="6917"/>
      </w:tabs>
      <w:spacing w:before="160" w:after="160"/>
      <w:ind w:firstLine="0"/>
    </w:pPr>
  </w:style>
  <w:style w:type="paragraph" w:customStyle="1" w:styleId="figurecaption">
    <w:name w:val="figurecaption"/>
    <w:basedOn w:val="a"/>
    <w:next w:val="a"/>
    <w:rsid w:val="00B324E8"/>
    <w:pPr>
      <w:keepLines/>
      <w:spacing w:before="120" w:after="240" w:line="220" w:lineRule="atLeast"/>
      <w:ind w:firstLine="0"/>
      <w:jc w:val="center"/>
    </w:pPr>
    <w:rPr>
      <w:sz w:val="18"/>
    </w:rPr>
  </w:style>
  <w:style w:type="paragraph" w:customStyle="1" w:styleId="heading1">
    <w:name w:val="heading1"/>
    <w:basedOn w:val="a"/>
    <w:next w:val="p1a"/>
    <w:qFormat/>
    <w:rsid w:val="00B324E8"/>
    <w:pPr>
      <w:keepNext/>
      <w:keepLines/>
      <w:numPr>
        <w:numId w:val="1"/>
      </w:numPr>
      <w:suppressAutoHyphens/>
      <w:spacing w:before="360" w:after="240" w:line="300" w:lineRule="atLeast"/>
      <w:jc w:val="left"/>
      <w:outlineLvl w:val="0"/>
    </w:pPr>
    <w:rPr>
      <w:b/>
      <w:sz w:val="24"/>
    </w:rPr>
  </w:style>
  <w:style w:type="paragraph" w:customStyle="1" w:styleId="heading2">
    <w:name w:val="heading2"/>
    <w:basedOn w:val="a"/>
    <w:next w:val="p1a"/>
    <w:qFormat/>
    <w:rsid w:val="00B324E8"/>
    <w:pPr>
      <w:keepNext/>
      <w:keepLines/>
      <w:numPr>
        <w:ilvl w:val="1"/>
        <w:numId w:val="1"/>
      </w:numPr>
      <w:suppressAutoHyphens/>
      <w:spacing w:before="360" w:after="160"/>
      <w:jc w:val="left"/>
      <w:outlineLvl w:val="1"/>
    </w:pPr>
    <w:rPr>
      <w:b/>
    </w:rPr>
  </w:style>
  <w:style w:type="character" w:customStyle="1" w:styleId="heading3">
    <w:name w:val="heading3"/>
    <w:rsid w:val="00B324E8"/>
    <w:rPr>
      <w:b/>
    </w:rPr>
  </w:style>
  <w:style w:type="character" w:customStyle="1" w:styleId="heading4">
    <w:name w:val="heading4"/>
    <w:rsid w:val="00B324E8"/>
    <w:rPr>
      <w:i/>
    </w:rPr>
  </w:style>
  <w:style w:type="numbering" w:customStyle="1" w:styleId="headings">
    <w:name w:val="headings"/>
    <w:basedOn w:val="a2"/>
    <w:rsid w:val="00B324E8"/>
    <w:pPr>
      <w:numPr>
        <w:numId w:val="1"/>
      </w:numPr>
    </w:pPr>
  </w:style>
  <w:style w:type="character" w:styleId="a3">
    <w:name w:val="Hyperlink"/>
    <w:unhideWhenUsed/>
    <w:rsid w:val="00B324E8"/>
    <w:rPr>
      <w:color w:val="auto"/>
      <w:u w:val="none"/>
    </w:rPr>
  </w:style>
  <w:style w:type="paragraph" w:customStyle="1" w:styleId="keywords">
    <w:name w:val="keywords"/>
    <w:basedOn w:val="abstract"/>
    <w:next w:val="heading1"/>
    <w:rsid w:val="00B324E8"/>
    <w:pPr>
      <w:spacing w:before="220"/>
      <w:ind w:firstLine="0"/>
      <w:contextualSpacing w:val="0"/>
      <w:jc w:val="left"/>
    </w:pPr>
  </w:style>
  <w:style w:type="paragraph" w:styleId="a4">
    <w:name w:val="header"/>
    <w:basedOn w:val="a"/>
    <w:link w:val="a5"/>
    <w:semiHidden/>
    <w:unhideWhenUsed/>
    <w:rsid w:val="00B324E8"/>
    <w:pPr>
      <w:tabs>
        <w:tab w:val="center" w:pos="4536"/>
        <w:tab w:val="right" w:pos="9072"/>
      </w:tabs>
      <w:ind w:firstLine="0"/>
    </w:pPr>
    <w:rPr>
      <w:sz w:val="18"/>
      <w:szCs w:val="18"/>
    </w:rPr>
  </w:style>
  <w:style w:type="character" w:customStyle="1" w:styleId="a5">
    <w:name w:val="Верхний колонтитул Знак"/>
    <w:basedOn w:val="a0"/>
    <w:link w:val="a4"/>
    <w:semiHidden/>
    <w:rsid w:val="00B324E8"/>
    <w:rPr>
      <w:rFonts w:ascii="Times New Roman" w:eastAsia="Times New Roman" w:hAnsi="Times New Roman" w:cs="Times New Roman"/>
      <w:sz w:val="18"/>
      <w:szCs w:val="18"/>
      <w:lang w:val="en-US"/>
    </w:rPr>
  </w:style>
  <w:style w:type="paragraph" w:customStyle="1" w:styleId="p1a">
    <w:name w:val="p1a"/>
    <w:basedOn w:val="a"/>
    <w:next w:val="a"/>
    <w:rsid w:val="00B324E8"/>
    <w:pPr>
      <w:ind w:firstLine="0"/>
    </w:pPr>
  </w:style>
  <w:style w:type="paragraph" w:customStyle="1" w:styleId="referenceitem">
    <w:name w:val="referenceitem"/>
    <w:basedOn w:val="a"/>
    <w:rsid w:val="00B324E8"/>
    <w:pPr>
      <w:numPr>
        <w:numId w:val="2"/>
      </w:numPr>
      <w:spacing w:line="220" w:lineRule="atLeast"/>
    </w:pPr>
    <w:rPr>
      <w:sz w:val="18"/>
    </w:rPr>
  </w:style>
  <w:style w:type="numbering" w:customStyle="1" w:styleId="referencelist">
    <w:name w:val="referencelist"/>
    <w:basedOn w:val="a2"/>
    <w:semiHidden/>
    <w:rsid w:val="00B324E8"/>
    <w:pPr>
      <w:numPr>
        <w:numId w:val="2"/>
      </w:numPr>
    </w:pPr>
  </w:style>
  <w:style w:type="paragraph" w:customStyle="1" w:styleId="papertitle">
    <w:name w:val="papertitle"/>
    <w:basedOn w:val="a"/>
    <w:next w:val="author"/>
    <w:rsid w:val="00B324E8"/>
    <w:pPr>
      <w:keepNext/>
      <w:keepLines/>
      <w:suppressAutoHyphens/>
      <w:spacing w:after="480" w:line="360" w:lineRule="atLeast"/>
      <w:ind w:firstLine="0"/>
      <w:jc w:val="center"/>
    </w:pPr>
    <w:rPr>
      <w:b/>
      <w:sz w:val="28"/>
    </w:rPr>
  </w:style>
  <w:style w:type="paragraph" w:customStyle="1" w:styleId="tablecaption">
    <w:name w:val="tablecaption"/>
    <w:basedOn w:val="a"/>
    <w:next w:val="a"/>
    <w:rsid w:val="00B324E8"/>
    <w:pPr>
      <w:keepNext/>
      <w:keepLines/>
      <w:spacing w:before="240" w:after="120" w:line="220" w:lineRule="atLeast"/>
      <w:ind w:firstLine="0"/>
      <w:jc w:val="center"/>
    </w:pPr>
    <w:rPr>
      <w:sz w:val="18"/>
    </w:rPr>
  </w:style>
  <w:style w:type="character" w:customStyle="1" w:styleId="ORCID">
    <w:name w:val="ORCID"/>
    <w:rsid w:val="00B324E8"/>
    <w:rPr>
      <w:position w:val="0"/>
      <w:vertAlign w:val="superscript"/>
    </w:rPr>
  </w:style>
  <w:style w:type="paragraph" w:styleId="a6">
    <w:name w:val="Balloon Text"/>
    <w:basedOn w:val="a"/>
    <w:link w:val="a7"/>
    <w:uiPriority w:val="99"/>
    <w:semiHidden/>
    <w:unhideWhenUsed/>
    <w:rsid w:val="00B324E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24E8"/>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030763">
      <w:bodyDiv w:val="1"/>
      <w:marLeft w:val="0"/>
      <w:marRight w:val="0"/>
      <w:marTop w:val="0"/>
      <w:marBottom w:val="0"/>
      <w:divBdr>
        <w:top w:val="none" w:sz="0" w:space="0" w:color="auto"/>
        <w:left w:val="none" w:sz="0" w:space="0" w:color="auto"/>
        <w:bottom w:val="none" w:sz="0" w:space="0" w:color="auto"/>
        <w:right w:val="none" w:sz="0" w:space="0" w:color="auto"/>
      </w:divBdr>
      <w:divsChild>
        <w:div w:id="260842533">
          <w:marLeft w:val="0"/>
          <w:marRight w:val="0"/>
          <w:marTop w:val="0"/>
          <w:marBottom w:val="0"/>
          <w:divBdr>
            <w:top w:val="none" w:sz="0" w:space="0" w:color="auto"/>
            <w:left w:val="none" w:sz="0" w:space="0" w:color="auto"/>
            <w:bottom w:val="none" w:sz="0" w:space="0" w:color="auto"/>
            <w:right w:val="none" w:sz="0" w:space="0" w:color="auto"/>
          </w:divBdr>
          <w:divsChild>
            <w:div w:id="292372345">
              <w:marLeft w:val="0"/>
              <w:marRight w:val="0"/>
              <w:marTop w:val="0"/>
              <w:marBottom w:val="0"/>
              <w:divBdr>
                <w:top w:val="none" w:sz="0" w:space="0" w:color="auto"/>
                <w:left w:val="none" w:sz="0" w:space="0" w:color="auto"/>
                <w:bottom w:val="none" w:sz="0" w:space="0" w:color="auto"/>
                <w:right w:val="none" w:sz="0" w:space="0" w:color="auto"/>
              </w:divBdr>
              <w:divsChild>
                <w:div w:id="764881410">
                  <w:marLeft w:val="0"/>
                  <w:marRight w:val="0"/>
                  <w:marTop w:val="0"/>
                  <w:marBottom w:val="0"/>
                  <w:divBdr>
                    <w:top w:val="none" w:sz="0" w:space="0" w:color="auto"/>
                    <w:left w:val="none" w:sz="0" w:space="0" w:color="auto"/>
                    <w:bottom w:val="none" w:sz="0" w:space="0" w:color="auto"/>
                    <w:right w:val="none" w:sz="0" w:space="0" w:color="auto"/>
                  </w:divBdr>
                  <w:divsChild>
                    <w:div w:id="1700084634">
                      <w:marLeft w:val="0"/>
                      <w:marRight w:val="0"/>
                      <w:marTop w:val="0"/>
                      <w:marBottom w:val="0"/>
                      <w:divBdr>
                        <w:top w:val="none" w:sz="0" w:space="0" w:color="auto"/>
                        <w:left w:val="none" w:sz="0" w:space="0" w:color="auto"/>
                        <w:bottom w:val="none" w:sz="0" w:space="0" w:color="auto"/>
                        <w:right w:val="none" w:sz="0" w:space="0" w:color="auto"/>
                      </w:divBdr>
                      <w:divsChild>
                        <w:div w:id="490676933">
                          <w:marLeft w:val="0"/>
                          <w:marRight w:val="0"/>
                          <w:marTop w:val="0"/>
                          <w:marBottom w:val="0"/>
                          <w:divBdr>
                            <w:top w:val="none" w:sz="0" w:space="0" w:color="auto"/>
                            <w:left w:val="none" w:sz="0" w:space="0" w:color="auto"/>
                            <w:bottom w:val="none" w:sz="0" w:space="0" w:color="auto"/>
                            <w:right w:val="none" w:sz="0" w:space="0" w:color="auto"/>
                          </w:divBdr>
                          <w:divsChild>
                            <w:div w:id="1774746944">
                              <w:marLeft w:val="0"/>
                              <w:marRight w:val="300"/>
                              <w:marTop w:val="180"/>
                              <w:marBottom w:val="0"/>
                              <w:divBdr>
                                <w:top w:val="none" w:sz="0" w:space="0" w:color="auto"/>
                                <w:left w:val="none" w:sz="0" w:space="0" w:color="auto"/>
                                <w:bottom w:val="none" w:sz="0" w:space="0" w:color="auto"/>
                                <w:right w:val="none" w:sz="0" w:space="0" w:color="auto"/>
                              </w:divBdr>
                              <w:divsChild>
                                <w:div w:id="166061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060870">
          <w:marLeft w:val="0"/>
          <w:marRight w:val="0"/>
          <w:marTop w:val="0"/>
          <w:marBottom w:val="0"/>
          <w:divBdr>
            <w:top w:val="none" w:sz="0" w:space="0" w:color="auto"/>
            <w:left w:val="none" w:sz="0" w:space="0" w:color="auto"/>
            <w:bottom w:val="none" w:sz="0" w:space="0" w:color="auto"/>
            <w:right w:val="none" w:sz="0" w:space="0" w:color="auto"/>
          </w:divBdr>
          <w:divsChild>
            <w:div w:id="1740251457">
              <w:marLeft w:val="0"/>
              <w:marRight w:val="0"/>
              <w:marTop w:val="0"/>
              <w:marBottom w:val="0"/>
              <w:divBdr>
                <w:top w:val="none" w:sz="0" w:space="0" w:color="auto"/>
                <w:left w:val="none" w:sz="0" w:space="0" w:color="auto"/>
                <w:bottom w:val="none" w:sz="0" w:space="0" w:color="auto"/>
                <w:right w:val="none" w:sz="0" w:space="0" w:color="auto"/>
              </w:divBdr>
              <w:divsChild>
                <w:div w:id="1936479617">
                  <w:marLeft w:val="0"/>
                  <w:marRight w:val="0"/>
                  <w:marTop w:val="0"/>
                  <w:marBottom w:val="0"/>
                  <w:divBdr>
                    <w:top w:val="none" w:sz="0" w:space="0" w:color="auto"/>
                    <w:left w:val="none" w:sz="0" w:space="0" w:color="auto"/>
                    <w:bottom w:val="none" w:sz="0" w:space="0" w:color="auto"/>
                    <w:right w:val="none" w:sz="0" w:space="0" w:color="auto"/>
                  </w:divBdr>
                  <w:divsChild>
                    <w:div w:id="123815564">
                      <w:marLeft w:val="0"/>
                      <w:marRight w:val="0"/>
                      <w:marTop w:val="0"/>
                      <w:marBottom w:val="0"/>
                      <w:divBdr>
                        <w:top w:val="none" w:sz="0" w:space="0" w:color="auto"/>
                        <w:left w:val="none" w:sz="0" w:space="0" w:color="auto"/>
                        <w:bottom w:val="none" w:sz="0" w:space="0" w:color="auto"/>
                        <w:right w:val="none" w:sz="0" w:space="0" w:color="auto"/>
                      </w:divBdr>
                      <w:divsChild>
                        <w:div w:id="10500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yperlink" Target="http://iopscience.iop.org/issue/1757-899X/365/3"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iopscience.iop.org/journal/1757-899X"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iopscience.iop.org/article/10.1088/1757-899X/365/3/032052" TargetMode="External"/><Relationship Id="rId28"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hyperlink" Target="http://www.sciencedirect.com/science/journal/09500618"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062496558559562"/>
          <c:y val="4.4057617797775527E-2"/>
          <c:w val="0.87007687321081573"/>
          <c:h val="0.75501757400398251"/>
        </c:manualLayout>
      </c:layout>
      <c:bar3DChart>
        <c:barDir val="col"/>
        <c:grouping val="clustered"/>
        <c:varyColors val="0"/>
        <c:ser>
          <c:idx val="0"/>
          <c:order val="0"/>
          <c:tx>
            <c:strRef>
              <c:f>Лист1!$B$1</c:f>
              <c:strCache>
                <c:ptCount val="1"/>
                <c:pt idx="0">
                  <c:v>Limit of compressive strength, %</c:v>
                </c:pt>
              </c:strCache>
            </c:strRef>
          </c:tx>
          <c:spPr>
            <a:solidFill>
              <a:srgbClr val="FFFF00"/>
            </a:solidFill>
            <a:ln w="25333">
              <a:solidFill>
                <a:schemeClr val="tx1"/>
              </a:solidFill>
            </a:ln>
            <a:effectLst>
              <a:innerShdw blurRad="63500" dist="50800" dir="13500000">
                <a:prstClr val="black">
                  <a:alpha val="50000"/>
                </a:prstClr>
              </a:innerShdw>
            </a:effectLst>
          </c:spPr>
          <c:invertIfNegative val="0"/>
          <c:cat>
            <c:numRef>
              <c:f>Лист1!$A$2:$A$7</c:f>
              <c:numCache>
                <c:formatCode>General</c:formatCode>
                <c:ptCount val="6"/>
                <c:pt idx="0">
                  <c:v>0</c:v>
                </c:pt>
                <c:pt idx="1">
                  <c:v>5</c:v>
                </c:pt>
                <c:pt idx="2">
                  <c:v>10</c:v>
                </c:pt>
                <c:pt idx="3">
                  <c:v>15</c:v>
                </c:pt>
                <c:pt idx="4">
                  <c:v>20</c:v>
                </c:pt>
                <c:pt idx="5">
                  <c:v>30</c:v>
                </c:pt>
              </c:numCache>
            </c:numRef>
          </c:cat>
          <c:val>
            <c:numRef>
              <c:f>Лист1!$B$2:$B$7</c:f>
              <c:numCache>
                <c:formatCode>General</c:formatCode>
                <c:ptCount val="6"/>
                <c:pt idx="0">
                  <c:v>100</c:v>
                </c:pt>
                <c:pt idx="1">
                  <c:v>78</c:v>
                </c:pt>
                <c:pt idx="2">
                  <c:v>82</c:v>
                </c:pt>
                <c:pt idx="3">
                  <c:v>74</c:v>
                </c:pt>
                <c:pt idx="4">
                  <c:v>66</c:v>
                </c:pt>
                <c:pt idx="5">
                  <c:v>62</c:v>
                </c:pt>
              </c:numCache>
            </c:numRef>
          </c:val>
        </c:ser>
        <c:ser>
          <c:idx val="1"/>
          <c:order val="1"/>
          <c:tx>
            <c:strRef>
              <c:f>Лист1!$C$1</c:f>
              <c:strCache>
                <c:ptCount val="1"/>
                <c:pt idx="0">
                  <c:v>Density, %</c:v>
                </c:pt>
              </c:strCache>
            </c:strRef>
          </c:tx>
          <c:spPr>
            <a:solidFill>
              <a:srgbClr val="00B050"/>
            </a:solidFill>
            <a:ln w="25333">
              <a:solidFill>
                <a:prstClr val="black"/>
              </a:solidFill>
            </a:ln>
          </c:spPr>
          <c:invertIfNegative val="0"/>
          <c:cat>
            <c:numRef>
              <c:f>Лист1!$A$2:$A$7</c:f>
              <c:numCache>
                <c:formatCode>General</c:formatCode>
                <c:ptCount val="6"/>
                <c:pt idx="0">
                  <c:v>0</c:v>
                </c:pt>
                <c:pt idx="1">
                  <c:v>5</c:v>
                </c:pt>
                <c:pt idx="2">
                  <c:v>10</c:v>
                </c:pt>
                <c:pt idx="3">
                  <c:v>15</c:v>
                </c:pt>
                <c:pt idx="4">
                  <c:v>20</c:v>
                </c:pt>
                <c:pt idx="5">
                  <c:v>30</c:v>
                </c:pt>
              </c:numCache>
            </c:numRef>
          </c:cat>
          <c:val>
            <c:numRef>
              <c:f>Лист1!$C$2:$C$7</c:f>
              <c:numCache>
                <c:formatCode>General</c:formatCode>
                <c:ptCount val="6"/>
                <c:pt idx="0">
                  <c:v>100</c:v>
                </c:pt>
                <c:pt idx="1">
                  <c:v>93</c:v>
                </c:pt>
                <c:pt idx="2">
                  <c:v>84</c:v>
                </c:pt>
                <c:pt idx="3">
                  <c:v>81</c:v>
                </c:pt>
                <c:pt idx="4">
                  <c:v>77</c:v>
                </c:pt>
                <c:pt idx="5">
                  <c:v>73</c:v>
                </c:pt>
              </c:numCache>
            </c:numRef>
          </c:val>
        </c:ser>
        <c:dLbls>
          <c:showLegendKey val="0"/>
          <c:showVal val="0"/>
          <c:showCatName val="0"/>
          <c:showSerName val="0"/>
          <c:showPercent val="0"/>
          <c:showBubbleSize val="0"/>
        </c:dLbls>
        <c:gapWidth val="150"/>
        <c:shape val="cylinder"/>
        <c:axId val="293746560"/>
        <c:axId val="293748736"/>
        <c:axId val="0"/>
      </c:bar3DChart>
      <c:catAx>
        <c:axId val="293746560"/>
        <c:scaling>
          <c:orientation val="minMax"/>
        </c:scaling>
        <c:delete val="0"/>
        <c:axPos val="b"/>
        <c:majorGridlines/>
        <c:title>
          <c:tx>
            <c:rich>
              <a:bodyPr/>
              <a:lstStyle/>
              <a:p>
                <a:pPr>
                  <a:defRPr sz="800" b="0" i="0" u="none" strike="noStrike" baseline="0">
                    <a:solidFill>
                      <a:srgbClr val="000000"/>
                    </a:solidFill>
                    <a:latin typeface="Arial"/>
                    <a:ea typeface="Arial"/>
                    <a:cs typeface="Arial"/>
                  </a:defRPr>
                </a:pPr>
                <a:r>
                  <a:rPr lang="en-US" sz="800"/>
                  <a:t>Concentration of ash microsphere</a:t>
                </a:r>
                <a:r>
                  <a:rPr lang="ru-RU" sz="800"/>
                  <a:t>, %</a:t>
                </a:r>
              </a:p>
            </c:rich>
          </c:tx>
          <c:overlay val="0"/>
        </c:title>
        <c:numFmt formatCode="General" sourceLinked="1"/>
        <c:majorTickMark val="out"/>
        <c:minorTickMark val="none"/>
        <c:tickLblPos val="nextTo"/>
        <c:txPr>
          <a:bodyPr/>
          <a:lstStyle/>
          <a:p>
            <a:pPr>
              <a:defRPr sz="800"/>
            </a:pPr>
            <a:endParaRPr lang="ru-RU"/>
          </a:p>
        </c:txPr>
        <c:crossAx val="293748736"/>
        <c:crosses val="autoZero"/>
        <c:auto val="1"/>
        <c:lblAlgn val="ctr"/>
        <c:lblOffset val="100"/>
        <c:noMultiLvlLbl val="0"/>
      </c:catAx>
      <c:valAx>
        <c:axId val="293748736"/>
        <c:scaling>
          <c:orientation val="minMax"/>
          <c:min val="55"/>
        </c:scaling>
        <c:delete val="0"/>
        <c:axPos val="l"/>
        <c:majorGridlines/>
        <c:numFmt formatCode="General" sourceLinked="1"/>
        <c:majorTickMark val="out"/>
        <c:minorTickMark val="none"/>
        <c:tickLblPos val="nextTo"/>
        <c:txPr>
          <a:bodyPr/>
          <a:lstStyle/>
          <a:p>
            <a:pPr>
              <a:defRPr sz="800"/>
            </a:pPr>
            <a:endParaRPr lang="ru-RU"/>
          </a:p>
        </c:txPr>
        <c:crossAx val="293746560"/>
        <c:crosses val="autoZero"/>
        <c:crossBetween val="between"/>
      </c:valAx>
      <c:spPr>
        <a:noFill/>
        <a:ln w="25333">
          <a:noFill/>
        </a:ln>
      </c:spPr>
    </c:plotArea>
    <c:legend>
      <c:legendPos val="r"/>
      <c:layout>
        <c:manualLayout>
          <c:xMode val="edge"/>
          <c:yMode val="edge"/>
          <c:x val="0.43934137352859248"/>
          <c:y val="8.2439531179833284E-2"/>
          <c:w val="0.50301467619903373"/>
          <c:h val="0.18379301308392038"/>
        </c:manualLayout>
      </c:layout>
      <c:overlay val="0"/>
      <c:spPr>
        <a:solidFill>
          <a:sysClr val="window" lastClr="FFFFFF"/>
        </a:solidFill>
        <a:ln>
          <a:solidFill>
            <a:srgbClr val="000000"/>
          </a:solidFill>
        </a:ln>
      </c:spPr>
      <c:txPr>
        <a:bodyPr/>
        <a:lstStyle/>
        <a:p>
          <a:pPr>
            <a:defRPr sz="800" baseline="0">
              <a:latin typeface="+mn-lt"/>
              <a:cs typeface="Arial" pitchFamily="34"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6F7AA-9AFB-4FC3-9483-14910C17B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Pages>
  <Words>2277</Words>
  <Characters>12979</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Юзер</cp:lastModifiedBy>
  <cp:revision>25</cp:revision>
  <dcterms:created xsi:type="dcterms:W3CDTF">2020-06-15T06:34:00Z</dcterms:created>
  <dcterms:modified xsi:type="dcterms:W3CDTF">2020-12-21T08:28:00Z</dcterms:modified>
</cp:coreProperties>
</file>